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                                   </w:t>
      </w:r>
      <w:bookmarkStart w:id="3" w:name="_GoBack"/>
      <w:bookmarkEnd w:id="3"/>
      <w:r>
        <w:rPr>
          <w:rFonts w:hint="eastAsia" w:ascii="Arial" w:hAnsi="Arial" w:cs="Arial"/>
          <w:b/>
          <w:sz w:val="24"/>
          <w:szCs w:val="24"/>
          <w:lang w:val="en-US" w:eastAsia="zh-CN"/>
        </w:rPr>
        <w:t>R4-2402037</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Greece, 26 February – 1 March, 2024 </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eastAsia="Calibri" w:cs="Arial"/>
          <w:b/>
          <w:bCs/>
          <w:sz w:val="24"/>
        </w:rPr>
        <w:t>Simulation results for UE demodulation performance and CSI requirements for less than 5MHz</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8.10.6.1</w:t>
      </w:r>
    </w:p>
    <w:p>
      <w:pPr>
        <w:widowControl w:val="0"/>
        <w:tabs>
          <w:tab w:val="left" w:pos="1985"/>
        </w:tabs>
        <w:spacing w:before="120" w:after="120"/>
        <w:ind w:left="1980" w:hanging="1980"/>
        <w:outlineLvl w:val="0"/>
        <w:rPr>
          <w:rStyle w:val="60"/>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rFonts w:hint="default"/>
          <w:szCs w:val="22"/>
          <w:lang w:val="en-US" w:eastAsia="zh-CN"/>
        </w:rPr>
      </w:pPr>
      <w:r>
        <w:rPr>
          <w:b/>
          <w:kern w:val="0"/>
          <w:sz w:val="24"/>
          <w:szCs w:val="24"/>
        </w:rPr>
        <w:t>1 Introduction</w:t>
      </w:r>
      <w:r>
        <w:rPr>
          <w:rFonts w:hint="default"/>
          <w:szCs w:val="22"/>
          <w:lang w:val="en-US" w:eastAsia="zh-CN"/>
        </w:rPr>
        <w:t xml:space="preserve"> </w:t>
      </w:r>
    </w:p>
    <w:p>
      <w:pPr>
        <w:spacing w:before="120" w:after="120"/>
        <w:rPr>
          <w:rFonts w:hint="default"/>
          <w:szCs w:val="22"/>
          <w:lang w:val="en-US" w:eastAsia="zh-CN"/>
        </w:rPr>
      </w:pPr>
      <w:r>
        <w:rPr>
          <w:rFonts w:hint="default"/>
          <w:szCs w:val="22"/>
          <w:lang w:val="en-US" w:eastAsia="en-US"/>
        </w:rPr>
        <w:t xml:space="preserve">This contribution contains initial simulation results for the &lt;5MHz WID </w:t>
      </w:r>
      <w:r>
        <w:rPr>
          <w:rFonts w:hint="default"/>
          <w:szCs w:val="22"/>
          <w:lang w:val="en-US" w:eastAsia="en-US"/>
        </w:rPr>
        <w:fldChar w:fldCharType="begin"/>
      </w:r>
      <w:r>
        <w:rPr>
          <w:rFonts w:hint="default"/>
          <w:szCs w:val="22"/>
          <w:lang w:val="en-US" w:eastAsia="en-US"/>
        </w:rPr>
        <w:instrText xml:space="preserve"> REF _Ref145072416 \r \h </w:instrText>
      </w:r>
      <w:r>
        <w:rPr>
          <w:rFonts w:hint="default"/>
          <w:szCs w:val="22"/>
          <w:lang w:val="en-US" w:eastAsia="en-US"/>
        </w:rPr>
        <w:fldChar w:fldCharType="separate"/>
      </w:r>
      <w:r>
        <w:rPr>
          <w:rFonts w:hint="default"/>
          <w:szCs w:val="22"/>
          <w:lang w:val="en-US" w:eastAsia="en-US"/>
        </w:rPr>
        <w:t>[1]</w:t>
      </w:r>
      <w:r>
        <w:rPr>
          <w:rFonts w:hint="default"/>
          <w:szCs w:val="22"/>
          <w:lang w:val="en-US" w:eastAsia="en-US"/>
        </w:rPr>
        <w:fldChar w:fldCharType="end"/>
      </w:r>
      <w:r>
        <w:rPr>
          <w:rFonts w:hint="default"/>
          <w:szCs w:val="22"/>
          <w:lang w:val="en-US" w:eastAsia="en-US"/>
        </w:rPr>
        <w:t>. The results are provided to aid in determining where new requirements can/should be introduced</w:t>
      </w:r>
      <w:r>
        <w:rPr>
          <w:rFonts w:hint="eastAsia"/>
          <w:szCs w:val="22"/>
          <w:lang w:val="en-US" w:eastAsia="zh-CN"/>
        </w:rPr>
        <w:t>[2]</w:t>
      </w:r>
      <w:r>
        <w:rPr>
          <w:rFonts w:hint="default"/>
          <w:szCs w:val="22"/>
          <w:lang w:val="en-US" w:eastAsia="en-US"/>
        </w:rPr>
        <w:t>.</w:t>
      </w:r>
    </w:p>
    <w:p>
      <w:pPr>
        <w:widowControl w:val="0"/>
        <w:pBdr>
          <w:top w:val="single" w:color="auto" w:sz="12" w:space="3"/>
        </w:pBdr>
        <w:spacing w:beforeLines="0" w:afterLines="0"/>
        <w:jc w:val="left"/>
        <w:outlineLvl w:val="0"/>
        <w:rPr>
          <w:rFonts w:hint="eastAsia"/>
          <w:b/>
          <w:bCs/>
          <w:sz w:val="24"/>
          <w:szCs w:val="24"/>
          <w:lang w:val="en-US" w:eastAsia="zh-CN"/>
        </w:rPr>
      </w:pPr>
      <w:r>
        <w:rPr>
          <w:rFonts w:hint="eastAsia"/>
          <w:b/>
          <w:kern w:val="0"/>
          <w:sz w:val="24"/>
          <w:szCs w:val="24"/>
        </w:rPr>
        <w:t xml:space="preserve">2 </w:t>
      </w:r>
      <w:r>
        <w:rPr>
          <w:b/>
          <w:kern w:val="0"/>
          <w:sz w:val="24"/>
          <w:szCs w:val="24"/>
        </w:rPr>
        <w:t>Discussion</w:t>
      </w:r>
    </w:p>
    <w:p>
      <w:pPr>
        <w:bidi w:val="0"/>
        <w:outlineLvl w:val="1"/>
        <w:rPr>
          <w:rFonts w:hint="eastAsia"/>
          <w:b/>
          <w:bCs/>
          <w:sz w:val="24"/>
          <w:szCs w:val="24"/>
          <w:lang w:val="en-US" w:eastAsia="zh-CN"/>
        </w:rPr>
      </w:pPr>
      <w:r>
        <w:rPr>
          <w:rFonts w:hint="eastAsia"/>
          <w:b/>
          <w:bCs/>
          <w:sz w:val="24"/>
          <w:szCs w:val="24"/>
          <w:lang w:val="en-US" w:eastAsia="zh-CN"/>
        </w:rPr>
        <w:t xml:space="preserve">2.1 PBCH requirements </w:t>
      </w:r>
    </w:p>
    <w:p>
      <w:pPr>
        <w:rPr>
          <w:rFonts w:hint="eastAsia" w:ascii="Times New Roman" w:hAnsi="Times New Roman" w:cs="Times New Roman"/>
          <w:lang w:val="en-US" w:eastAsia="zh-CN"/>
        </w:rPr>
      </w:pPr>
      <w:r>
        <w:rPr>
          <w:rFonts w:hint="eastAsia" w:ascii="Times New Roman" w:hAnsi="Times New Roman" w:cs="Times New Roman"/>
          <w:lang w:val="en-US" w:eastAsia="zh-CN"/>
        </w:rPr>
        <w:t>The simulation results for punctured PBCH were provided, in accordance with the conclusions of the previous meeting.</w:t>
      </w:r>
    </w:p>
    <w:p>
      <w:pPr>
        <w:jc w:val="center"/>
      </w:pPr>
    </w:p>
    <w:p>
      <w:pPr>
        <w:jc w:val="center"/>
        <w:rPr>
          <w:rFonts w:hint="eastAsia"/>
          <w:b/>
          <w:bCs/>
          <w:i/>
          <w:iCs/>
          <w:szCs w:val="21"/>
          <w:lang w:val="en-US" w:eastAsia="zh-CN"/>
        </w:rPr>
      </w:pPr>
      <w:r>
        <w:drawing>
          <wp:inline distT="0" distB="0" distL="114300" distR="114300">
            <wp:extent cx="3284855" cy="246443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3284855" cy="2464435"/>
                    </a:xfrm>
                    <a:prstGeom prst="rect">
                      <a:avLst/>
                    </a:prstGeom>
                    <a:noFill/>
                    <a:ln w="9525">
                      <a:noFill/>
                    </a:ln>
                  </pic:spPr>
                </pic:pic>
              </a:graphicData>
            </a:graphic>
          </wp:inline>
        </w:drawing>
      </w:r>
    </w:p>
    <w:tbl>
      <w:tblPr>
        <w:tblStyle w:val="23"/>
        <w:tblW w:w="962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87"/>
        <w:gridCol w:w="2104"/>
        <w:gridCol w:w="1419"/>
        <w:gridCol w:w="1539"/>
        <w:gridCol w:w="2292"/>
        <w:gridCol w:w="757"/>
        <w:gridCol w:w="72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vMerge w:val="restart"/>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Duplex</w:t>
            </w:r>
            <w:r>
              <w:rPr>
                <w:rFonts w:ascii="Times New Roman" w:hAnsi="Times New Roman" w:eastAsia="Times New Roman" w:cs="Times New Roman"/>
                <w:kern w:val="0"/>
                <w:sz w:val="18"/>
                <w:szCs w:val="18"/>
                <w:lang w:val="en-GB" w:eastAsia="en-US"/>
              </w:rPr>
              <w:t> </w:t>
            </w:r>
          </w:p>
        </w:tc>
        <w:tc>
          <w:tcPr>
            <w:tcW w:w="2104" w:type="dxa"/>
            <w:vMerge w:val="restart"/>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Bandwidth (MHz) / Subcarrier spacing (kHz)</w:t>
            </w:r>
            <w:r>
              <w:rPr>
                <w:rFonts w:ascii="Times New Roman" w:hAnsi="Times New Roman" w:eastAsia="Times New Roman" w:cs="Times New Roman"/>
                <w:kern w:val="0"/>
                <w:sz w:val="18"/>
                <w:szCs w:val="18"/>
                <w:lang w:val="en-GB" w:eastAsia="en-US"/>
              </w:rPr>
              <w:t> </w:t>
            </w:r>
          </w:p>
        </w:tc>
        <w:tc>
          <w:tcPr>
            <w:tcW w:w="1419" w:type="dxa"/>
            <w:vMerge w:val="restart"/>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SSB/PBCH index</w:t>
            </w:r>
            <w:r>
              <w:rPr>
                <w:rFonts w:ascii="Times New Roman" w:hAnsi="Times New Roman" w:eastAsia="Times New Roman" w:cs="Times New Roman"/>
                <w:kern w:val="0"/>
                <w:sz w:val="18"/>
                <w:szCs w:val="18"/>
                <w:lang w:val="en-GB" w:eastAsia="en-US"/>
              </w:rPr>
              <w:t> </w:t>
            </w:r>
          </w:p>
        </w:tc>
        <w:tc>
          <w:tcPr>
            <w:tcW w:w="1539" w:type="dxa"/>
            <w:vMerge w:val="restart"/>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Propagation condition</w:t>
            </w:r>
            <w:r>
              <w:rPr>
                <w:rFonts w:ascii="Times New Roman" w:hAnsi="Times New Roman" w:eastAsia="Times New Roman" w:cs="Times New Roman"/>
                <w:kern w:val="0"/>
                <w:sz w:val="18"/>
                <w:szCs w:val="18"/>
                <w:lang w:val="en-GB" w:eastAsia="en-US"/>
              </w:rPr>
              <w:t> </w:t>
            </w:r>
          </w:p>
        </w:tc>
        <w:tc>
          <w:tcPr>
            <w:tcW w:w="2292" w:type="dxa"/>
            <w:vMerge w:val="restart"/>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Antenna configuration and correlation matrix</w:t>
            </w:r>
            <w:r>
              <w:rPr>
                <w:rFonts w:ascii="Times New Roman" w:hAnsi="Times New Roman" w:eastAsia="Times New Roman" w:cs="Times New Roman"/>
                <w:kern w:val="0"/>
                <w:sz w:val="18"/>
                <w:szCs w:val="18"/>
                <w:lang w:val="en-GB" w:eastAsia="en-US"/>
              </w:rPr>
              <w:t> </w:t>
            </w:r>
          </w:p>
        </w:tc>
        <w:tc>
          <w:tcPr>
            <w:tcW w:w="1484" w:type="dxa"/>
            <w:gridSpan w:val="2"/>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Reference value</w:t>
            </w:r>
            <w:r>
              <w:rPr>
                <w:rFonts w:ascii="Times New Roman" w:hAnsi="Times New Roman" w:eastAsia="Times New Roman" w:cs="Times New Roman"/>
                <w:kern w:val="0"/>
                <w:sz w:val="18"/>
                <w:szCs w:val="18"/>
                <w:lang w:val="en-GB" w:eastAsia="en-US"/>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beforeLines="-2147483648" w:after="0" w:afterLines="-2147483648" w:line="240" w:lineRule="auto"/>
              <w:jc w:val="left"/>
              <w:rPr>
                <w:rFonts w:ascii="Times New Roman" w:hAnsi="Times New Roman" w:eastAsia="Times New Roman" w:cs="Times New Roman"/>
                <w:kern w:val="0"/>
                <w:sz w:val="24"/>
                <w:szCs w:val="24"/>
                <w:lang w:val="en-GB" w:eastAsia="en-US"/>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beforeLines="-2147483648" w:after="0" w:afterLines="-2147483648" w:line="240" w:lineRule="auto"/>
              <w:jc w:val="left"/>
              <w:rPr>
                <w:rFonts w:ascii="Times New Roman" w:hAnsi="Times New Roman" w:eastAsia="Times New Roman" w:cs="Times New Roman"/>
                <w:kern w:val="0"/>
                <w:sz w:val="24"/>
                <w:szCs w:val="24"/>
                <w:lang w:val="en-GB" w:eastAsia="en-US"/>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beforeLines="-2147483648" w:after="0" w:afterLines="-2147483648" w:line="240" w:lineRule="auto"/>
              <w:jc w:val="left"/>
              <w:rPr>
                <w:rFonts w:ascii="Times New Roman" w:hAnsi="Times New Roman" w:eastAsia="Times New Roman" w:cs="Times New Roman"/>
                <w:kern w:val="0"/>
                <w:sz w:val="24"/>
                <w:szCs w:val="24"/>
                <w:lang w:val="en-GB" w:eastAsia="en-US"/>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beforeLines="-2147483648" w:after="0" w:afterLines="-2147483648" w:line="240" w:lineRule="auto"/>
              <w:jc w:val="left"/>
              <w:rPr>
                <w:rFonts w:ascii="Times New Roman" w:hAnsi="Times New Roman" w:eastAsia="Times New Roman" w:cs="Times New Roman"/>
                <w:kern w:val="0"/>
                <w:sz w:val="24"/>
                <w:szCs w:val="24"/>
                <w:lang w:val="en-GB" w:eastAsia="en-US"/>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beforeLines="-2147483648" w:after="0" w:afterLines="-2147483648" w:line="240" w:lineRule="auto"/>
              <w:jc w:val="left"/>
              <w:rPr>
                <w:rFonts w:ascii="Times New Roman" w:hAnsi="Times New Roman" w:eastAsia="Times New Roman" w:cs="Times New Roman"/>
                <w:kern w:val="0"/>
                <w:sz w:val="24"/>
                <w:szCs w:val="24"/>
                <w:lang w:val="en-GB" w:eastAsia="en-US"/>
              </w:rPr>
            </w:pP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Pm-bch (%)</w:t>
            </w:r>
            <w:r>
              <w:rPr>
                <w:rFonts w:ascii="Times New Roman" w:hAnsi="Times New Roman" w:eastAsia="Times New Roman" w:cs="Times New Roman"/>
                <w:kern w:val="0"/>
                <w:sz w:val="18"/>
                <w:szCs w:val="18"/>
                <w:lang w:val="en-GB" w:eastAsia="en-US"/>
              </w:rPr>
              <w:t> </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b/>
                <w:bCs/>
                <w:kern w:val="0"/>
                <w:sz w:val="18"/>
                <w:szCs w:val="18"/>
                <w:lang w:val="en-GB" w:eastAsia="en-US"/>
              </w:rPr>
              <w:t>SNR (dB)</w:t>
            </w:r>
            <w:r>
              <w:rPr>
                <w:rFonts w:ascii="Times New Roman" w:hAnsi="Times New Roman" w:eastAsia="Times New Roman" w:cs="Times New Roman"/>
                <w:kern w:val="0"/>
                <w:sz w:val="18"/>
                <w:szCs w:val="18"/>
                <w:lang w:val="en-GB" w:eastAsia="en-US"/>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kern w:val="0"/>
                <w:sz w:val="18"/>
                <w:szCs w:val="18"/>
                <w:lang w:val="en-GB" w:eastAsia="en-US"/>
              </w:rPr>
              <w:t>FDD </w:t>
            </w:r>
          </w:p>
        </w:tc>
        <w:tc>
          <w:tcPr>
            <w:tcW w:w="2104"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kern w:val="0"/>
                <w:sz w:val="18"/>
                <w:szCs w:val="18"/>
                <w:lang w:val="en-GB" w:eastAsia="en-US"/>
              </w:rPr>
              <w:t>3 / 15 </w:t>
            </w:r>
          </w:p>
        </w:tc>
        <w:tc>
          <w:tcPr>
            <w:tcW w:w="1419"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Unknown</w:t>
            </w:r>
          </w:p>
        </w:tc>
        <w:tc>
          <w:tcPr>
            <w:tcW w:w="1539"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kern w:val="0"/>
                <w:sz w:val="18"/>
                <w:szCs w:val="18"/>
                <w:lang w:val="en-GB" w:eastAsia="en-US"/>
              </w:rPr>
              <w:t>TDLC300-100 </w:t>
            </w:r>
          </w:p>
        </w:tc>
        <w:tc>
          <w:tcPr>
            <w:tcW w:w="2292"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1 x 2 Low</w:t>
            </w: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ascii="Times New Roman" w:hAnsi="Times New Roman" w:eastAsia="Times New Roman" w:cs="Times New Roman"/>
                <w:kern w:val="0"/>
                <w:sz w:val="18"/>
                <w:szCs w:val="18"/>
                <w:lang w:val="en-GB" w:eastAsia="en-US"/>
              </w:rPr>
              <w:t>1 </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24"/>
                <w:szCs w:val="24"/>
                <w:lang w:val="en-GB" w:eastAsia="en-US"/>
              </w:rPr>
            </w:pPr>
            <w:r>
              <w:rPr>
                <w:rFonts w:hint="eastAsia" w:eastAsia="宋体" w:cs="Times New Roman"/>
                <w:kern w:val="0"/>
                <w:sz w:val="18"/>
                <w:szCs w:val="18"/>
                <w:lang w:val="en-US" w:eastAsia="zh-CN"/>
              </w:rPr>
              <w:t>-6.1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FDD </w:t>
            </w:r>
          </w:p>
        </w:tc>
        <w:tc>
          <w:tcPr>
            <w:tcW w:w="2104"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3 / 15 </w:t>
            </w:r>
          </w:p>
        </w:tc>
        <w:tc>
          <w:tcPr>
            <w:tcW w:w="1419"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Unknown</w:t>
            </w:r>
          </w:p>
        </w:tc>
        <w:tc>
          <w:tcPr>
            <w:tcW w:w="1539"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TDLC300-100 </w:t>
            </w:r>
          </w:p>
        </w:tc>
        <w:tc>
          <w:tcPr>
            <w:tcW w:w="2292"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1 x 4 Low</w:t>
            </w: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ascii="Times New Roman" w:hAnsi="Times New Roman" w:eastAsia="Times New Roman" w:cs="Times New Roman"/>
                <w:kern w:val="0"/>
                <w:sz w:val="18"/>
                <w:szCs w:val="18"/>
                <w:lang w:val="en-GB" w:eastAsia="en-US"/>
              </w:rPr>
            </w:pPr>
            <w:r>
              <w:rPr>
                <w:rFonts w:ascii="Times New Roman" w:hAnsi="Times New Roman" w:eastAsia="Times New Roman" w:cs="Times New Roman"/>
                <w:kern w:val="0"/>
                <w:sz w:val="18"/>
                <w:szCs w:val="18"/>
                <w:lang w:val="en-GB" w:eastAsia="en-US"/>
              </w:rPr>
              <w:t>1 </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beforeLines="-2147483648" w:after="0" w:afterLines="-2147483648" w:line="240" w:lineRule="auto"/>
              <w:jc w:val="center"/>
              <w:rPr>
                <w:rFonts w:hint="default" w:ascii="Times New Roman" w:hAnsi="Times New Roman" w:eastAsia="宋体" w:cs="Times New Roman"/>
                <w:kern w:val="0"/>
                <w:sz w:val="18"/>
                <w:szCs w:val="18"/>
                <w:lang w:val="en-US" w:eastAsia="zh-CN"/>
              </w:rPr>
            </w:pPr>
            <w:r>
              <w:rPr>
                <w:rFonts w:hint="eastAsia" w:eastAsia="宋体" w:cs="Times New Roman"/>
                <w:kern w:val="0"/>
                <w:sz w:val="18"/>
                <w:szCs w:val="18"/>
                <w:lang w:val="en-US" w:eastAsia="zh-CN"/>
              </w:rPr>
              <w:t>-9.2</w:t>
            </w:r>
          </w:p>
        </w:tc>
      </w:tr>
    </w:tbl>
    <w:p>
      <w:pPr>
        <w:widowControl w:val="0"/>
        <w:spacing w:beforeLines="100" w:afterLines="0" w:line="240" w:lineRule="auto"/>
        <w:jc w:val="left"/>
        <w:rPr>
          <w:b/>
          <w:bCs/>
          <w:i/>
          <w:iCs/>
          <w:szCs w:val="21"/>
        </w:rPr>
      </w:pPr>
    </w:p>
    <w:p>
      <w:pPr>
        <w:bidi w:val="0"/>
        <w:outlineLvl w:val="1"/>
        <w:rPr>
          <w:rFonts w:hint="eastAsia"/>
          <w:b/>
          <w:bCs/>
          <w:sz w:val="24"/>
          <w:szCs w:val="24"/>
          <w:lang w:val="en-US" w:eastAsia="zh-CN"/>
        </w:rPr>
      </w:pPr>
      <w:r>
        <w:rPr>
          <w:rFonts w:hint="eastAsia" w:ascii="Times New Roman" w:eastAsia="宋体"/>
          <w:b/>
          <w:bCs/>
          <w:sz w:val="24"/>
          <w:szCs w:val="24"/>
          <w:lang w:val="en-US" w:eastAsia="zh-CN"/>
        </w:rPr>
        <w:t xml:space="preserve">2.1 PDSCH requirements </w:t>
      </w:r>
    </w:p>
    <w:p>
      <w:pPr>
        <w:rPr>
          <w:rFonts w:hint="eastAsia"/>
          <w:lang w:val="en-US" w:eastAsia="zh-CN"/>
        </w:rPr>
      </w:pPr>
    </w:p>
    <w:p>
      <w:pPr>
        <w:rPr>
          <w:rFonts w:hint="eastAsia"/>
          <w:lang w:val="en-US" w:eastAsia="zh-CN"/>
        </w:rPr>
      </w:pPr>
      <w:r>
        <w:rPr>
          <w:rFonts w:hint="eastAsia"/>
          <w:lang w:val="en-US" w:eastAsia="zh-CN"/>
        </w:rPr>
        <w:t>Firstly, we compared the performance between 15PRBs and 52PRBs. From our simulation results show no significant difference in performance between 3MHz and legacy requirements(e.g. 10MHz). Additional, we provided the PDSCH simulation results for 3MHz under non- HST conditions.</w:t>
      </w:r>
    </w:p>
    <w:p>
      <w:pPr>
        <w:rPr>
          <w:rFonts w:hint="default"/>
          <w:lang w:val="en-US" w:eastAsia="zh-CN"/>
        </w:rPr>
      </w:pPr>
      <w:r>
        <w:rPr>
          <w:rFonts w:hint="eastAsia"/>
          <w:b/>
          <w:bCs/>
          <w:i/>
          <w:iCs/>
          <w:szCs w:val="21"/>
          <w:lang w:val="en-US" w:eastAsia="zh-CN"/>
        </w:rPr>
        <w:t>Observation 1. Our simulation results shown no significant difference in performance between 3Mhz and legacy requirements.</w:t>
      </w:r>
    </w:p>
    <w:p>
      <w:pPr>
        <w:pStyle w:val="9"/>
        <w:keepNext/>
        <w:jc w:val="center"/>
        <w:rPr>
          <w:rFonts w:hint="default" w:eastAsia="宋体"/>
          <w:b w:val="0"/>
          <w:bCs/>
          <w:lang w:val="en-US" w:eastAsia="zh-CN"/>
        </w:rPr>
      </w:pPr>
      <w:r>
        <w:rPr>
          <w:b w:val="0"/>
          <w:bCs/>
        </w:rPr>
        <w:t xml:space="preserve">Table </w:t>
      </w:r>
      <w:r>
        <w:rPr>
          <w:b w:val="0"/>
          <w:bCs/>
        </w:rPr>
        <w:fldChar w:fldCharType="begin"/>
      </w:r>
      <w:r>
        <w:rPr>
          <w:b w:val="0"/>
          <w:bCs/>
        </w:rPr>
        <w:instrText xml:space="preserve"> SEQ Table \* ARABIC </w:instrText>
      </w:r>
      <w:r>
        <w:rPr>
          <w:b w:val="0"/>
          <w:bCs/>
        </w:rPr>
        <w:fldChar w:fldCharType="separate"/>
      </w:r>
      <w:r>
        <w:rPr>
          <w:b w:val="0"/>
          <w:bCs/>
        </w:rPr>
        <w:t>1</w:t>
      </w:r>
      <w:r>
        <w:rPr>
          <w:b w:val="0"/>
          <w:bCs/>
        </w:rPr>
        <w:fldChar w:fldCharType="end"/>
      </w:r>
      <w:r>
        <w:rPr>
          <w:rFonts w:hint="eastAsia"/>
          <w:b w:val="0"/>
          <w:bCs/>
          <w:lang w:val="en-US" w:eastAsia="zh-CN"/>
        </w:rPr>
        <w:t xml:space="preserve">. </w:t>
      </w:r>
      <w:r>
        <w:rPr>
          <w:b w:val="0"/>
          <w:bCs/>
        </w:rPr>
        <w:t>PDSCH simulation results</w:t>
      </w:r>
      <w:r>
        <w:rPr>
          <w:rFonts w:hint="eastAsia"/>
          <w:b w:val="0"/>
          <w:bCs/>
          <w:lang w:val="en-US" w:eastAsia="zh-CN"/>
        </w:rPr>
        <w:t xml:space="preserve"> for 52PRB and 15PRB</w:t>
      </w:r>
    </w:p>
    <w:tbl>
      <w:tblPr>
        <w:tblStyle w:val="23"/>
        <w:tblW w:w="4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6"/>
        <w:gridCol w:w="1227"/>
        <w:gridCol w:w="1347"/>
        <w:gridCol w:w="1384"/>
        <w:gridCol w:w="1193"/>
        <w:gridCol w:w="1382"/>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380" w:type="pct"/>
            <w:vMerge w:val="restart"/>
            <w:shd w:val="clear" w:color="auto" w:fill="FFFFFF" w:themeFill="background1"/>
            <w:vAlign w:val="center"/>
          </w:tcPr>
          <w:p>
            <w:pPr>
              <w:pStyle w:val="65"/>
            </w:pPr>
            <w:r>
              <w:t>Test num.</w:t>
            </w:r>
          </w:p>
        </w:tc>
        <w:tc>
          <w:tcPr>
            <w:tcW w:w="700" w:type="pct"/>
            <w:vMerge w:val="restart"/>
            <w:shd w:val="clear" w:color="auto" w:fill="FFFFFF" w:themeFill="background1"/>
            <w:vAlign w:val="center"/>
          </w:tcPr>
          <w:p>
            <w:pPr>
              <w:pStyle w:val="65"/>
              <w:rPr>
                <w:lang w:eastAsia="zh-CN"/>
              </w:rPr>
            </w:pPr>
            <w:r>
              <w:t>Modulation format</w:t>
            </w:r>
            <w:r>
              <w:rPr>
                <w:rFonts w:hint="eastAsia"/>
                <w:lang w:eastAsia="zh-CN"/>
              </w:rPr>
              <w:t xml:space="preserve"> and code rate</w:t>
            </w:r>
          </w:p>
        </w:tc>
        <w:tc>
          <w:tcPr>
            <w:tcW w:w="786" w:type="pct"/>
            <w:vMerge w:val="restart"/>
            <w:shd w:val="clear" w:color="auto" w:fill="FFFFFF" w:themeFill="background1"/>
            <w:vAlign w:val="center"/>
          </w:tcPr>
          <w:p>
            <w:pPr>
              <w:pStyle w:val="65"/>
            </w:pPr>
            <w:r>
              <w:t>Propagation condition</w:t>
            </w:r>
          </w:p>
        </w:tc>
        <w:tc>
          <w:tcPr>
            <w:tcW w:w="812" w:type="pct"/>
            <w:vMerge w:val="restart"/>
            <w:shd w:val="clear" w:color="auto" w:fill="FFFFFF" w:themeFill="background1"/>
            <w:vAlign w:val="center"/>
          </w:tcPr>
          <w:p>
            <w:pPr>
              <w:pStyle w:val="65"/>
            </w:pPr>
            <w:r>
              <w:t>Correlation matrix and antenna configuration</w:t>
            </w:r>
          </w:p>
        </w:tc>
        <w:tc>
          <w:tcPr>
            <w:tcW w:w="2320" w:type="pct"/>
            <w:gridSpan w:val="3"/>
            <w:shd w:val="clear" w:color="auto" w:fill="FFFFFF" w:themeFill="background1"/>
            <w:vAlign w:val="center"/>
          </w:tcPr>
          <w:p>
            <w:pPr>
              <w:pStyle w:val="65"/>
            </w:pPr>
            <w: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80" w:type="pct"/>
            <w:vMerge w:val="continue"/>
            <w:shd w:val="clear" w:color="auto" w:fill="FFFFFF"/>
            <w:vAlign w:val="center"/>
          </w:tcPr>
          <w:p>
            <w:pPr>
              <w:pStyle w:val="65"/>
            </w:pPr>
          </w:p>
        </w:tc>
        <w:tc>
          <w:tcPr>
            <w:tcW w:w="700" w:type="pct"/>
            <w:vMerge w:val="continue"/>
            <w:shd w:val="clear" w:color="auto" w:fill="FFFFFF"/>
          </w:tcPr>
          <w:p>
            <w:pPr>
              <w:pStyle w:val="65"/>
            </w:pPr>
          </w:p>
        </w:tc>
        <w:tc>
          <w:tcPr>
            <w:tcW w:w="786" w:type="pct"/>
            <w:vMerge w:val="continue"/>
            <w:shd w:val="clear" w:color="auto" w:fill="FFFFFF"/>
            <w:vAlign w:val="center"/>
          </w:tcPr>
          <w:p>
            <w:pPr>
              <w:pStyle w:val="65"/>
            </w:pPr>
          </w:p>
        </w:tc>
        <w:tc>
          <w:tcPr>
            <w:tcW w:w="812" w:type="pct"/>
            <w:vMerge w:val="continue"/>
            <w:shd w:val="clear" w:color="auto" w:fill="FFFFFF"/>
            <w:vAlign w:val="center"/>
          </w:tcPr>
          <w:p>
            <w:pPr>
              <w:pStyle w:val="65"/>
            </w:pPr>
          </w:p>
        </w:tc>
        <w:tc>
          <w:tcPr>
            <w:tcW w:w="700" w:type="pct"/>
            <w:vMerge w:val="restart"/>
            <w:shd w:val="clear" w:color="auto" w:fill="FFFFFF" w:themeFill="background1"/>
            <w:vAlign w:val="center"/>
          </w:tcPr>
          <w:p>
            <w:pPr>
              <w:pStyle w:val="65"/>
            </w:pPr>
            <w:r>
              <w:t>Fraction of maximum throughput (%)</w:t>
            </w:r>
          </w:p>
        </w:tc>
        <w:tc>
          <w:tcPr>
            <w:tcW w:w="1620" w:type="pct"/>
            <w:gridSpan w:val="2"/>
            <w:shd w:val="clear" w:color="auto" w:fill="FFFFFF" w:themeFill="background1"/>
            <w:vAlign w:val="center"/>
          </w:tcPr>
          <w:p>
            <w:pPr>
              <w:pStyle w:val="65"/>
            </w:pPr>
            <w: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80" w:type="pct"/>
            <w:vMerge w:val="continue"/>
            <w:shd w:val="clear" w:color="auto" w:fill="FFFFFF"/>
            <w:vAlign w:val="center"/>
          </w:tcPr>
          <w:p>
            <w:pPr>
              <w:pStyle w:val="65"/>
            </w:pPr>
          </w:p>
        </w:tc>
        <w:tc>
          <w:tcPr>
            <w:tcW w:w="700" w:type="pct"/>
            <w:vMerge w:val="continue"/>
            <w:shd w:val="clear" w:color="auto" w:fill="FFFFFF"/>
          </w:tcPr>
          <w:p>
            <w:pPr>
              <w:pStyle w:val="65"/>
            </w:pPr>
          </w:p>
        </w:tc>
        <w:tc>
          <w:tcPr>
            <w:tcW w:w="786" w:type="pct"/>
            <w:vMerge w:val="continue"/>
            <w:shd w:val="clear" w:color="auto" w:fill="FFFFFF"/>
            <w:vAlign w:val="center"/>
          </w:tcPr>
          <w:p>
            <w:pPr>
              <w:pStyle w:val="65"/>
            </w:pPr>
          </w:p>
        </w:tc>
        <w:tc>
          <w:tcPr>
            <w:tcW w:w="812" w:type="pct"/>
            <w:vMerge w:val="continue"/>
            <w:shd w:val="clear" w:color="auto" w:fill="FFFFFF"/>
            <w:vAlign w:val="center"/>
          </w:tcPr>
          <w:p>
            <w:pPr>
              <w:pStyle w:val="65"/>
            </w:pPr>
          </w:p>
        </w:tc>
        <w:tc>
          <w:tcPr>
            <w:tcW w:w="700" w:type="pct"/>
            <w:vMerge w:val="continue"/>
            <w:shd w:val="clear" w:color="auto" w:fill="FFFFFF"/>
            <w:vAlign w:val="center"/>
          </w:tcPr>
          <w:p>
            <w:pPr>
              <w:pStyle w:val="65"/>
            </w:pPr>
          </w:p>
        </w:tc>
        <w:tc>
          <w:tcPr>
            <w:tcW w:w="810" w:type="pct"/>
            <w:shd w:val="clear" w:color="auto" w:fill="FFFFFF" w:themeFill="background1"/>
            <w:vAlign w:val="center"/>
          </w:tcPr>
          <w:p>
            <w:pPr>
              <w:pStyle w:val="65"/>
              <w:jc w:val="center"/>
              <w:rPr>
                <w:rFonts w:hint="default" w:eastAsia="宋体"/>
                <w:lang w:val="en-US" w:eastAsia="zh-CN"/>
              </w:rPr>
            </w:pPr>
            <w:r>
              <w:rPr>
                <w:rFonts w:hint="eastAsia"/>
                <w:lang w:val="en-US" w:eastAsia="zh-CN"/>
              </w:rPr>
              <w:t>52PRBs</w:t>
            </w:r>
          </w:p>
        </w:tc>
        <w:tc>
          <w:tcPr>
            <w:tcW w:w="810" w:type="pct"/>
            <w:shd w:val="clear" w:color="auto" w:fill="FFFFFF" w:themeFill="background1"/>
            <w:vAlign w:val="center"/>
          </w:tcPr>
          <w:p>
            <w:pPr>
              <w:pStyle w:val="65"/>
              <w:jc w:val="center"/>
              <w:rPr>
                <w:rFonts w:hint="default" w:eastAsia="宋体"/>
                <w:lang w:val="en-US" w:eastAsia="zh-CN"/>
              </w:rPr>
            </w:pPr>
            <w:r>
              <w:rPr>
                <w:rFonts w:hint="eastAsia"/>
                <w:lang w:val="en-US" w:eastAsia="zh-CN"/>
              </w:rPr>
              <w:t>15PRBs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80" w:type="pct"/>
            <w:shd w:val="clear" w:color="auto" w:fill="FFFFFF"/>
            <w:vAlign w:val="center"/>
          </w:tcPr>
          <w:p>
            <w:pPr>
              <w:pStyle w:val="65"/>
              <w:rPr>
                <w:rFonts w:hint="eastAsia" w:eastAsia="宋体"/>
                <w:lang w:val="en-US" w:eastAsia="zh-CN"/>
              </w:rPr>
            </w:pPr>
            <w:r>
              <w:rPr>
                <w:rFonts w:hint="eastAsia" w:ascii="Arial" w:hAnsi="Arial" w:eastAsia="宋体" w:cs="Times New Roman"/>
                <w:b w:val="0"/>
                <w:kern w:val="2"/>
                <w:sz w:val="18"/>
                <w:lang w:val="en-US" w:eastAsia="zh-CN" w:bidi="ar-SA"/>
              </w:rPr>
              <w:t>1</w:t>
            </w:r>
          </w:p>
        </w:tc>
        <w:tc>
          <w:tcPr>
            <w:tcW w:w="700" w:type="pct"/>
            <w:shd w:val="clear" w:color="auto" w:fill="FFFFFF"/>
            <w:vAlign w:val="center"/>
          </w:tcPr>
          <w:p>
            <w:pPr>
              <w:pStyle w:val="65"/>
              <w:jc w:val="center"/>
            </w:pPr>
            <w:r>
              <w:rPr>
                <w:rFonts w:hint="eastAsia" w:ascii="Arial" w:hAnsi="Arial" w:eastAsia="宋体" w:cs="Times New Roman"/>
                <w:b w:val="0"/>
                <w:kern w:val="2"/>
                <w:sz w:val="18"/>
                <w:lang w:val="en-US" w:eastAsia="zh-CN" w:bidi="ar-SA"/>
              </w:rPr>
              <w:t>QPSK, 0.30</w:t>
            </w:r>
          </w:p>
        </w:tc>
        <w:tc>
          <w:tcPr>
            <w:tcW w:w="786" w:type="pct"/>
            <w:shd w:val="clear" w:color="auto" w:fill="FFFFFF"/>
            <w:vAlign w:val="center"/>
          </w:tcPr>
          <w:p>
            <w:pPr>
              <w:pStyle w:val="65"/>
            </w:pPr>
            <w:r>
              <w:rPr>
                <w:rFonts w:hint="eastAsia" w:ascii="Arial" w:hAnsi="Arial" w:eastAsia="宋体" w:cs="Times New Roman"/>
                <w:b w:val="0"/>
                <w:kern w:val="2"/>
                <w:sz w:val="18"/>
                <w:lang w:val="en-US" w:eastAsia="zh-CN" w:bidi="ar-SA"/>
              </w:rPr>
              <w:t>TDLB100-400</w:t>
            </w:r>
          </w:p>
        </w:tc>
        <w:tc>
          <w:tcPr>
            <w:tcW w:w="812" w:type="pct"/>
            <w:shd w:val="clear" w:color="auto" w:fill="FFFFFF"/>
            <w:vAlign w:val="center"/>
          </w:tcPr>
          <w:p>
            <w:pPr>
              <w:pStyle w:val="65"/>
            </w:pPr>
            <w:r>
              <w:rPr>
                <w:rFonts w:hint="eastAsia" w:ascii="Arial" w:hAnsi="Arial" w:eastAsia="宋体" w:cs="Times New Roman"/>
                <w:b w:val="0"/>
                <w:kern w:val="2"/>
                <w:sz w:val="18"/>
                <w:lang w:val="en-US" w:eastAsia="zh-CN" w:bidi="ar-SA"/>
              </w:rPr>
              <w:t>2x</w:t>
            </w:r>
            <w:r>
              <w:rPr>
                <w:rFonts w:hint="eastAsia" w:cs="Times New Roman"/>
                <w:b w:val="0"/>
                <w:kern w:val="2"/>
                <w:sz w:val="18"/>
                <w:lang w:val="en-US" w:eastAsia="zh-CN" w:bidi="ar-SA"/>
              </w:rPr>
              <w:t>2</w:t>
            </w:r>
            <w:r>
              <w:rPr>
                <w:rFonts w:hint="eastAsia" w:ascii="Arial" w:hAnsi="Arial" w:eastAsia="宋体" w:cs="Times New Roman"/>
                <w:b w:val="0"/>
                <w:kern w:val="2"/>
                <w:sz w:val="18"/>
                <w:lang w:val="en-US" w:eastAsia="zh-CN" w:bidi="ar-SA"/>
              </w:rPr>
              <w:t>, ULA Low</w:t>
            </w:r>
          </w:p>
        </w:tc>
        <w:tc>
          <w:tcPr>
            <w:tcW w:w="700" w:type="pct"/>
            <w:shd w:val="clear" w:color="auto" w:fill="FFFFFF"/>
            <w:vAlign w:val="center"/>
          </w:tcPr>
          <w:p>
            <w:pPr>
              <w:pStyle w:val="65"/>
              <w:rPr>
                <w:rFonts w:hint="default" w:eastAsia="宋体"/>
                <w:lang w:val="en-US" w:eastAsia="zh-CN"/>
              </w:rPr>
            </w:pPr>
            <w:r>
              <w:rPr>
                <w:rFonts w:hint="eastAsia" w:ascii="Arial" w:hAnsi="Arial" w:eastAsia="宋体" w:cs="Times New Roman"/>
                <w:b w:val="0"/>
                <w:kern w:val="2"/>
                <w:sz w:val="18"/>
                <w:lang w:val="en-US" w:eastAsia="zh-CN" w:bidi="ar-SA"/>
              </w:rPr>
              <w:t>70</w:t>
            </w:r>
          </w:p>
        </w:tc>
        <w:tc>
          <w:tcPr>
            <w:tcW w:w="810" w:type="pct"/>
            <w:shd w:val="clear" w:color="auto" w:fill="FFFFFF" w:themeFill="background1"/>
            <w:vAlign w:val="center"/>
          </w:tcPr>
          <w:p>
            <w:pPr>
              <w:pStyle w:val="65"/>
              <w:jc w:val="center"/>
              <w:rPr>
                <w:rFonts w:hint="default"/>
                <w:lang w:val="en-US" w:eastAsia="zh-CN"/>
              </w:rPr>
            </w:pPr>
            <w:r>
              <w:rPr>
                <w:rFonts w:hint="eastAsia" w:ascii="Arial" w:hAnsi="Arial" w:eastAsia="宋体" w:cs="Times New Roman"/>
                <w:b w:val="0"/>
                <w:kern w:val="2"/>
                <w:sz w:val="18"/>
                <w:lang w:val="en-US" w:eastAsia="zh-CN" w:bidi="ar-SA"/>
              </w:rPr>
              <w:t xml:space="preserve">-3.2 </w:t>
            </w:r>
          </w:p>
        </w:tc>
        <w:tc>
          <w:tcPr>
            <w:tcW w:w="810" w:type="pct"/>
            <w:shd w:val="clear" w:color="auto" w:fill="FFFFFF" w:themeFill="background1"/>
            <w:vAlign w:val="center"/>
          </w:tcPr>
          <w:p>
            <w:pPr>
              <w:pStyle w:val="65"/>
              <w:jc w:val="center"/>
              <w:rPr>
                <w:rFonts w:hint="default"/>
                <w:lang w:val="en-US" w:eastAsia="zh-CN"/>
              </w:rPr>
            </w:pPr>
            <w:r>
              <w:rPr>
                <w:rFonts w:hint="eastAsia" w:ascii="Arial" w:hAnsi="Arial" w:eastAsia="宋体" w:cs="Times New Roman"/>
                <w:b w:val="0"/>
                <w:kern w:val="2"/>
                <w:sz w:val="18"/>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23" w:hRule="atLeast"/>
          <w:jc w:val="center"/>
        </w:trPr>
        <w:tc>
          <w:tcPr>
            <w:tcW w:w="380" w:type="pct"/>
            <w:shd w:val="clear" w:color="auto" w:fill="FFFFFF"/>
            <w:vAlign w:val="center"/>
          </w:tcPr>
          <w:p>
            <w:pPr>
              <w:pStyle w:val="65"/>
              <w:rPr>
                <w:rFonts w:hint="eastAsia" w:eastAsia="宋体"/>
                <w:lang w:val="en-US" w:eastAsia="zh-CN"/>
              </w:rPr>
            </w:pPr>
            <w:r>
              <w:rPr>
                <w:rFonts w:hint="eastAsia" w:ascii="Arial" w:hAnsi="Arial" w:eastAsia="宋体" w:cs="Times New Roman"/>
                <w:b w:val="0"/>
                <w:kern w:val="2"/>
                <w:sz w:val="18"/>
                <w:lang w:val="en-US" w:eastAsia="zh-CN" w:bidi="ar-SA"/>
              </w:rPr>
              <w:t>2</w:t>
            </w:r>
          </w:p>
        </w:tc>
        <w:tc>
          <w:tcPr>
            <w:tcW w:w="700" w:type="pct"/>
            <w:shd w:val="clear" w:color="auto" w:fill="FFFFFF"/>
            <w:vAlign w:val="center"/>
          </w:tcPr>
          <w:p>
            <w:pPr>
              <w:pStyle w:val="65"/>
              <w:rPr>
                <w:rFonts w:hint="default" w:eastAsia="宋体"/>
                <w:lang w:val="en-US" w:eastAsia="zh-CN"/>
              </w:rPr>
            </w:pPr>
            <w:r>
              <w:rPr>
                <w:rFonts w:hint="eastAsia" w:ascii="Arial" w:hAnsi="Arial" w:eastAsia="宋体" w:cs="Times New Roman"/>
                <w:b w:val="0"/>
                <w:kern w:val="2"/>
                <w:sz w:val="18"/>
                <w:lang w:val="en-US" w:eastAsia="zh-CN" w:bidi="ar-SA"/>
              </w:rPr>
              <w:t xml:space="preserve">16QAM,0.48 </w:t>
            </w:r>
          </w:p>
        </w:tc>
        <w:tc>
          <w:tcPr>
            <w:tcW w:w="786" w:type="pct"/>
            <w:shd w:val="clear" w:color="auto" w:fill="FFFFFF"/>
            <w:vAlign w:val="center"/>
          </w:tcPr>
          <w:p>
            <w:pPr>
              <w:pStyle w:val="65"/>
            </w:pPr>
            <w:r>
              <w:rPr>
                <w:rFonts w:hint="eastAsia" w:ascii="Arial" w:hAnsi="Arial" w:eastAsia="宋体" w:cs="Times New Roman"/>
                <w:b w:val="0"/>
                <w:kern w:val="2"/>
                <w:sz w:val="18"/>
                <w:lang w:val="en-US" w:eastAsia="zh-CN" w:bidi="ar-SA"/>
              </w:rPr>
              <w:t>TDL</w:t>
            </w:r>
            <w:r>
              <w:rPr>
                <w:rFonts w:hint="eastAsia" w:cs="Times New Roman"/>
                <w:b w:val="0"/>
                <w:kern w:val="2"/>
                <w:sz w:val="18"/>
                <w:lang w:val="en-US" w:eastAsia="zh-CN" w:bidi="ar-SA"/>
              </w:rPr>
              <w:t>C3</w:t>
            </w:r>
            <w:r>
              <w:rPr>
                <w:rFonts w:hint="eastAsia" w:ascii="Arial" w:hAnsi="Arial" w:eastAsia="宋体" w:cs="Times New Roman"/>
                <w:b w:val="0"/>
                <w:kern w:val="2"/>
                <w:sz w:val="18"/>
                <w:lang w:val="en-US" w:eastAsia="zh-CN" w:bidi="ar-SA"/>
              </w:rPr>
              <w:t>00-</w:t>
            </w:r>
            <w:r>
              <w:rPr>
                <w:rFonts w:hint="eastAsia" w:cs="Times New Roman"/>
                <w:b w:val="0"/>
                <w:kern w:val="2"/>
                <w:sz w:val="18"/>
                <w:lang w:val="en-US" w:eastAsia="zh-CN" w:bidi="ar-SA"/>
              </w:rPr>
              <w:t>1</w:t>
            </w:r>
            <w:r>
              <w:rPr>
                <w:rFonts w:hint="eastAsia" w:ascii="Arial" w:hAnsi="Arial" w:eastAsia="宋体" w:cs="Times New Roman"/>
                <w:b w:val="0"/>
                <w:kern w:val="2"/>
                <w:sz w:val="18"/>
                <w:lang w:val="en-US" w:eastAsia="zh-CN" w:bidi="ar-SA"/>
              </w:rPr>
              <w:t>00</w:t>
            </w:r>
          </w:p>
        </w:tc>
        <w:tc>
          <w:tcPr>
            <w:tcW w:w="812" w:type="pct"/>
            <w:shd w:val="clear" w:color="auto" w:fill="FFFFFF"/>
            <w:vAlign w:val="center"/>
          </w:tcPr>
          <w:p>
            <w:pPr>
              <w:pStyle w:val="65"/>
            </w:pPr>
            <w:r>
              <w:rPr>
                <w:rFonts w:hint="eastAsia" w:ascii="Arial" w:hAnsi="Arial" w:eastAsia="宋体" w:cs="Times New Roman"/>
                <w:b w:val="0"/>
                <w:kern w:val="2"/>
                <w:sz w:val="18"/>
                <w:lang w:val="en-US" w:eastAsia="zh-CN" w:bidi="ar-SA"/>
              </w:rPr>
              <w:t>2x</w:t>
            </w:r>
            <w:r>
              <w:rPr>
                <w:rFonts w:hint="eastAsia" w:cs="Times New Roman"/>
                <w:b w:val="0"/>
                <w:kern w:val="2"/>
                <w:sz w:val="18"/>
                <w:lang w:val="en-US" w:eastAsia="zh-CN" w:bidi="ar-SA"/>
              </w:rPr>
              <w:t>2</w:t>
            </w:r>
            <w:r>
              <w:rPr>
                <w:rFonts w:hint="eastAsia" w:ascii="Arial" w:hAnsi="Arial" w:eastAsia="宋体" w:cs="Times New Roman"/>
                <w:b w:val="0"/>
                <w:kern w:val="2"/>
                <w:sz w:val="18"/>
                <w:lang w:val="en-US" w:eastAsia="zh-CN" w:bidi="ar-SA"/>
              </w:rPr>
              <w:t>, ULA Low</w:t>
            </w:r>
          </w:p>
        </w:tc>
        <w:tc>
          <w:tcPr>
            <w:tcW w:w="700" w:type="pct"/>
            <w:shd w:val="clear" w:color="auto" w:fill="FFFFFF"/>
            <w:vAlign w:val="center"/>
          </w:tcPr>
          <w:p>
            <w:pPr>
              <w:pStyle w:val="65"/>
              <w:rPr>
                <w:rFonts w:hint="default" w:eastAsia="宋体"/>
                <w:lang w:val="en-US" w:eastAsia="zh-CN"/>
              </w:rPr>
            </w:pPr>
            <w:r>
              <w:rPr>
                <w:rFonts w:hint="eastAsia" w:ascii="Arial" w:hAnsi="Arial" w:eastAsia="宋体" w:cs="Times New Roman"/>
                <w:b w:val="0"/>
                <w:kern w:val="2"/>
                <w:sz w:val="18"/>
                <w:lang w:val="en-US" w:eastAsia="zh-CN" w:bidi="ar-SA"/>
              </w:rPr>
              <w:t>70</w:t>
            </w:r>
          </w:p>
        </w:tc>
        <w:tc>
          <w:tcPr>
            <w:tcW w:w="810" w:type="pct"/>
            <w:shd w:val="clear" w:color="auto" w:fill="FFFFFF" w:themeFill="background1"/>
            <w:vAlign w:val="center"/>
          </w:tcPr>
          <w:p>
            <w:pPr>
              <w:pStyle w:val="65"/>
              <w:jc w:val="center"/>
              <w:rPr>
                <w:rFonts w:hint="default"/>
                <w:lang w:val="en-US" w:eastAsia="zh-CN"/>
              </w:rPr>
            </w:pPr>
            <w:r>
              <w:rPr>
                <w:rFonts w:hint="eastAsia" w:ascii="Arial" w:hAnsi="Arial" w:eastAsia="宋体" w:cs="Times New Roman"/>
                <w:b w:val="0"/>
                <w:kern w:val="2"/>
                <w:sz w:val="18"/>
                <w:lang w:val="en-US" w:eastAsia="zh-CN" w:bidi="ar-SA"/>
              </w:rPr>
              <w:t>5.4</w:t>
            </w:r>
          </w:p>
        </w:tc>
        <w:tc>
          <w:tcPr>
            <w:tcW w:w="810" w:type="pct"/>
            <w:shd w:val="clear" w:color="auto" w:fill="FFFFFF" w:themeFill="background1"/>
            <w:vAlign w:val="center"/>
          </w:tcPr>
          <w:p>
            <w:pPr>
              <w:pStyle w:val="65"/>
              <w:jc w:val="center"/>
              <w:rPr>
                <w:rFonts w:hint="default"/>
                <w:lang w:val="en-US" w:eastAsia="zh-CN"/>
              </w:rPr>
            </w:pPr>
            <w:r>
              <w:rPr>
                <w:rFonts w:hint="eastAsia" w:ascii="Arial" w:hAnsi="Arial" w:eastAsia="宋体" w:cs="Times New Roman"/>
                <w:b w:val="0"/>
                <w:kern w:val="2"/>
                <w:sz w:val="18"/>
                <w:lang w:val="en-US" w:eastAsia="zh-CN" w:bidi="ar-S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23" w:hRule="atLeast"/>
          <w:jc w:val="center"/>
        </w:trPr>
        <w:tc>
          <w:tcPr>
            <w:tcW w:w="380" w:type="pct"/>
            <w:shd w:val="clear" w:color="auto" w:fill="FFFFFF"/>
            <w:vAlign w:val="center"/>
          </w:tcPr>
          <w:p>
            <w:pPr>
              <w:pStyle w:val="65"/>
              <w:rPr>
                <w:rFonts w:hint="eastAsia" w:eastAsia="宋体"/>
                <w:lang w:val="en-US" w:eastAsia="zh-CN"/>
              </w:rPr>
            </w:pPr>
            <w:r>
              <w:rPr>
                <w:rFonts w:hint="eastAsia" w:ascii="Arial" w:hAnsi="Arial" w:eastAsia="宋体" w:cs="Times New Roman"/>
                <w:b w:val="0"/>
                <w:kern w:val="2"/>
                <w:sz w:val="18"/>
                <w:lang w:val="en-US" w:eastAsia="zh-CN" w:bidi="ar-SA"/>
              </w:rPr>
              <w:t>3</w:t>
            </w:r>
          </w:p>
        </w:tc>
        <w:tc>
          <w:tcPr>
            <w:tcW w:w="700" w:type="pct"/>
            <w:shd w:val="clear" w:color="auto" w:fill="FFFFFF"/>
            <w:vAlign w:val="center"/>
          </w:tcPr>
          <w:p>
            <w:pPr>
              <w:pStyle w:val="65"/>
            </w:pPr>
            <w:r>
              <w:rPr>
                <w:rFonts w:hint="eastAsia" w:ascii="Arial" w:hAnsi="Arial" w:eastAsia="宋体" w:cs="Times New Roman"/>
                <w:b w:val="0"/>
                <w:kern w:val="2"/>
                <w:sz w:val="18"/>
                <w:lang w:val="en-US" w:eastAsia="zh-CN" w:bidi="ar-SA"/>
              </w:rPr>
              <w:t>256QAM, 0.82</w:t>
            </w:r>
          </w:p>
        </w:tc>
        <w:tc>
          <w:tcPr>
            <w:tcW w:w="786" w:type="pct"/>
            <w:shd w:val="clear" w:color="auto" w:fill="FFFFFF"/>
            <w:vAlign w:val="center"/>
          </w:tcPr>
          <w:p>
            <w:pPr>
              <w:pStyle w:val="65"/>
              <w:rPr>
                <w:rFonts w:hint="default" w:eastAsia="宋体"/>
                <w:lang w:val="en-US" w:eastAsia="zh-CN"/>
              </w:rPr>
            </w:pPr>
            <w:r>
              <w:rPr>
                <w:rFonts w:hint="eastAsia" w:ascii="Arial" w:hAnsi="Arial" w:eastAsia="宋体" w:cs="Times New Roman"/>
                <w:b w:val="0"/>
                <w:kern w:val="2"/>
                <w:sz w:val="18"/>
                <w:lang w:val="en-US" w:eastAsia="zh-CN" w:bidi="ar-SA"/>
              </w:rPr>
              <w:t>TDLA30-10</w:t>
            </w:r>
          </w:p>
        </w:tc>
        <w:tc>
          <w:tcPr>
            <w:tcW w:w="812" w:type="pct"/>
            <w:shd w:val="clear" w:color="auto" w:fill="FFFFFF"/>
            <w:vAlign w:val="center"/>
          </w:tcPr>
          <w:p>
            <w:pPr>
              <w:pStyle w:val="65"/>
            </w:pPr>
            <w:r>
              <w:rPr>
                <w:rFonts w:hint="eastAsia" w:ascii="Arial" w:hAnsi="Arial" w:eastAsia="宋体" w:cs="Times New Roman"/>
                <w:b w:val="0"/>
                <w:kern w:val="2"/>
                <w:sz w:val="18"/>
                <w:lang w:val="en-US" w:eastAsia="zh-CN" w:bidi="ar-SA"/>
              </w:rPr>
              <w:t>2x</w:t>
            </w:r>
            <w:r>
              <w:rPr>
                <w:rFonts w:hint="eastAsia" w:cs="Times New Roman"/>
                <w:b w:val="0"/>
                <w:kern w:val="2"/>
                <w:sz w:val="18"/>
                <w:lang w:val="en-US" w:eastAsia="zh-CN" w:bidi="ar-SA"/>
              </w:rPr>
              <w:t>2</w:t>
            </w:r>
            <w:r>
              <w:rPr>
                <w:rFonts w:hint="eastAsia" w:ascii="Arial" w:hAnsi="Arial" w:eastAsia="宋体" w:cs="Times New Roman"/>
                <w:b w:val="0"/>
                <w:kern w:val="2"/>
                <w:sz w:val="18"/>
                <w:lang w:val="en-US" w:eastAsia="zh-CN" w:bidi="ar-SA"/>
              </w:rPr>
              <w:t>, ULA Low</w:t>
            </w:r>
          </w:p>
        </w:tc>
        <w:tc>
          <w:tcPr>
            <w:tcW w:w="700" w:type="pct"/>
            <w:shd w:val="clear" w:color="auto" w:fill="FFFFFF"/>
            <w:vAlign w:val="center"/>
          </w:tcPr>
          <w:p>
            <w:pPr>
              <w:pStyle w:val="65"/>
              <w:rPr>
                <w:rFonts w:hint="default" w:eastAsia="宋体"/>
                <w:lang w:val="en-US" w:eastAsia="zh-CN"/>
              </w:rPr>
            </w:pPr>
            <w:r>
              <w:rPr>
                <w:rFonts w:hint="eastAsia" w:ascii="Arial" w:hAnsi="Arial" w:eastAsia="宋体" w:cs="Times New Roman"/>
                <w:b w:val="0"/>
                <w:kern w:val="2"/>
                <w:sz w:val="18"/>
                <w:lang w:val="en-US" w:eastAsia="zh-CN" w:bidi="ar-SA"/>
              </w:rPr>
              <w:t>70</w:t>
            </w:r>
          </w:p>
        </w:tc>
        <w:tc>
          <w:tcPr>
            <w:tcW w:w="810" w:type="pct"/>
            <w:shd w:val="clear" w:color="auto" w:fill="FFFFFF" w:themeFill="background1"/>
            <w:vAlign w:val="center"/>
          </w:tcPr>
          <w:p>
            <w:pPr>
              <w:pStyle w:val="65"/>
              <w:jc w:val="center"/>
              <w:rPr>
                <w:rFonts w:hint="default"/>
                <w:lang w:val="en-US" w:eastAsia="zh-CN"/>
              </w:rPr>
            </w:pPr>
            <w:r>
              <w:rPr>
                <w:rFonts w:hint="eastAsia" w:ascii="Arial" w:hAnsi="Arial" w:eastAsia="宋体" w:cs="Times New Roman"/>
                <w:b w:val="0"/>
                <w:kern w:val="2"/>
                <w:sz w:val="18"/>
                <w:lang w:val="en-US" w:eastAsia="zh-CN" w:bidi="ar-SA"/>
              </w:rPr>
              <w:t>20.7</w:t>
            </w:r>
          </w:p>
        </w:tc>
        <w:tc>
          <w:tcPr>
            <w:tcW w:w="810" w:type="pct"/>
            <w:shd w:val="clear" w:color="auto" w:fill="FFFFFF" w:themeFill="background1"/>
            <w:vAlign w:val="center"/>
          </w:tcPr>
          <w:p>
            <w:pPr>
              <w:pStyle w:val="65"/>
              <w:jc w:val="center"/>
              <w:rPr>
                <w:rFonts w:hint="default"/>
                <w:lang w:val="en-US" w:eastAsia="zh-CN"/>
              </w:rPr>
            </w:pPr>
            <w:r>
              <w:rPr>
                <w:rFonts w:hint="eastAsia" w:ascii="Arial" w:hAnsi="Arial" w:eastAsia="宋体" w:cs="Times New Roman"/>
                <w:b w:val="0"/>
                <w:kern w:val="2"/>
                <w:sz w:val="18"/>
                <w:lang w:val="en-US" w:eastAsia="zh-CN" w:bidi="ar-SA"/>
              </w:rPr>
              <w:t>20.5</w:t>
            </w:r>
          </w:p>
        </w:tc>
      </w:tr>
    </w:tbl>
    <w:p>
      <w:pPr>
        <w:pStyle w:val="9"/>
        <w:keepNext/>
        <w:jc w:val="center"/>
        <w:rPr>
          <w:b w:val="0"/>
          <w:bCs/>
        </w:rPr>
      </w:pPr>
    </w:p>
    <w:p>
      <w:pPr>
        <w:pStyle w:val="9"/>
        <w:keepNext/>
        <w:jc w:val="center"/>
        <w:rPr>
          <w:rFonts w:hint="default"/>
          <w:b/>
          <w:bCs/>
          <w:i/>
          <w:iCs/>
          <w:szCs w:val="21"/>
          <w:lang w:val="en-US"/>
        </w:rPr>
      </w:pPr>
      <w:r>
        <w:rPr>
          <w:b w:val="0"/>
          <w:bCs/>
        </w:rPr>
        <w:t xml:space="preserve">Table </w:t>
      </w:r>
      <w:r>
        <w:rPr>
          <w:rFonts w:hint="eastAsia"/>
          <w:b w:val="0"/>
          <w:bCs/>
          <w:lang w:val="en-US" w:eastAsia="zh-CN"/>
        </w:rPr>
        <w:t xml:space="preserve">2. </w:t>
      </w:r>
      <w:r>
        <w:rPr>
          <w:b w:val="0"/>
          <w:bCs/>
        </w:rPr>
        <w:t>PDSCH simulation results</w:t>
      </w:r>
      <w:r>
        <w:rPr>
          <w:rFonts w:hint="eastAsia"/>
          <w:b w:val="0"/>
          <w:bCs/>
          <w:lang w:val="en-US" w:eastAsia="zh-CN"/>
        </w:rPr>
        <w:t xml:space="preserve"> for 3MHz in non-HST conditions</w:t>
      </w:r>
    </w:p>
    <w:tbl>
      <w:tblPr>
        <w:tblStyle w:val="23"/>
        <w:tblW w:w="10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87"/>
        <w:gridCol w:w="1152"/>
        <w:gridCol w:w="1539"/>
        <w:gridCol w:w="1347"/>
        <w:gridCol w:w="1238"/>
        <w:gridCol w:w="1366"/>
        <w:gridCol w:w="1688"/>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9" w:hRule="atLeast"/>
          <w:jc w:val="center"/>
        </w:trPr>
        <w:tc>
          <w:tcPr>
            <w:tcW w:w="1237" w:type="dxa"/>
            <w:tcBorders>
              <w:bottom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Reference</w:t>
            </w:r>
            <w:r>
              <w:rPr>
                <w:rFonts w:hint="eastAsia" w:ascii="Arial" w:hAnsi="Arial" w:eastAsia="宋体" w:cs="Times New Roman"/>
                <w:b/>
                <w:kern w:val="2"/>
                <w:sz w:val="18"/>
                <w:szCs w:val="24"/>
                <w:lang w:val="en-US" w:eastAsia="zh-CN" w:bidi="ar-SA"/>
              </w:rPr>
              <w:t xml:space="preserve"> </w:t>
            </w:r>
            <w:r>
              <w:rPr>
                <w:rFonts w:ascii="Arial" w:hAnsi="Arial" w:eastAsia="宋体" w:cs="Times New Roman"/>
                <w:b/>
                <w:kern w:val="2"/>
                <w:sz w:val="18"/>
                <w:szCs w:val="24"/>
                <w:lang w:val="en-US" w:eastAsia="zh-CN" w:bidi="ar-SA"/>
              </w:rPr>
              <w:t>channel</w:t>
            </w:r>
          </w:p>
        </w:tc>
        <w:tc>
          <w:tcPr>
            <w:tcW w:w="1155" w:type="dxa"/>
            <w:tcBorders>
              <w:bottom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Bandwidth</w:t>
            </w:r>
            <w:r>
              <w:rPr>
                <w:rFonts w:hint="eastAsia" w:ascii="Arial" w:hAnsi="Arial" w:eastAsia="宋体" w:cs="Times New Roman"/>
                <w:b/>
                <w:kern w:val="2"/>
                <w:sz w:val="18"/>
                <w:szCs w:val="24"/>
                <w:lang w:val="en-US" w:eastAsia="zh-CN" w:bidi="ar-SA"/>
              </w:rPr>
              <w:t xml:space="preserve"> </w:t>
            </w:r>
            <w:r>
              <w:rPr>
                <w:rFonts w:ascii="Arial" w:hAnsi="Arial" w:eastAsia="宋体" w:cs="Times New Roman"/>
                <w:b/>
                <w:kern w:val="2"/>
                <w:sz w:val="18"/>
                <w:szCs w:val="24"/>
                <w:lang w:val="en-US" w:eastAsia="zh-CN" w:bidi="ar-SA"/>
              </w:rPr>
              <w:t>(MHz) / Subcarrier spacing</w:t>
            </w:r>
            <w:r>
              <w:rPr>
                <w:rFonts w:hint="eastAsia" w:ascii="Arial" w:hAnsi="Arial" w:eastAsia="宋体" w:cs="Times New Roman"/>
                <w:b/>
                <w:kern w:val="2"/>
                <w:sz w:val="18"/>
                <w:szCs w:val="24"/>
                <w:lang w:val="en-US" w:eastAsia="zh-CN" w:bidi="ar-SA"/>
              </w:rPr>
              <w:t xml:space="preserve"> </w:t>
            </w:r>
            <w:r>
              <w:rPr>
                <w:rFonts w:ascii="Arial" w:hAnsi="Arial" w:eastAsia="宋体" w:cs="Times New Roman"/>
                <w:b/>
                <w:kern w:val="2"/>
                <w:sz w:val="18"/>
                <w:szCs w:val="24"/>
                <w:lang w:val="en-US" w:eastAsia="zh-CN" w:bidi="ar-SA"/>
              </w:rPr>
              <w:t>(kHz)</w:t>
            </w:r>
          </w:p>
        </w:tc>
        <w:tc>
          <w:tcPr>
            <w:tcW w:w="1619" w:type="dxa"/>
            <w:tcBorders>
              <w:bottom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Modulation format</w:t>
            </w:r>
            <w:r>
              <w:rPr>
                <w:rFonts w:hint="eastAsia" w:ascii="Arial" w:hAnsi="Arial" w:eastAsia="宋体" w:cs="Times New Roman"/>
                <w:b/>
                <w:kern w:val="2"/>
                <w:sz w:val="18"/>
                <w:szCs w:val="24"/>
                <w:lang w:val="en-US" w:eastAsia="zh-CN" w:bidi="ar-SA"/>
              </w:rPr>
              <w:t xml:space="preserve"> </w:t>
            </w:r>
            <w:r>
              <w:rPr>
                <w:rFonts w:ascii="Arial" w:hAnsi="Arial" w:eastAsia="宋体" w:cs="Times New Roman"/>
                <w:b/>
                <w:kern w:val="2"/>
                <w:sz w:val="18"/>
                <w:szCs w:val="24"/>
                <w:lang w:val="en-US" w:eastAsia="zh-CN" w:bidi="ar-SA"/>
              </w:rPr>
              <w:t>and code rate</w:t>
            </w:r>
          </w:p>
        </w:tc>
        <w:tc>
          <w:tcPr>
            <w:tcW w:w="1267" w:type="dxa"/>
            <w:tcBorders>
              <w:bottom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Propagation condition</w:t>
            </w:r>
          </w:p>
        </w:tc>
        <w:tc>
          <w:tcPr>
            <w:tcW w:w="1366" w:type="dxa"/>
            <w:tcBorders>
              <w:bottom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Rank</w:t>
            </w:r>
          </w:p>
        </w:tc>
        <w:tc>
          <w:tcPr>
            <w:tcW w:w="1366" w:type="dxa"/>
            <w:tcBorders>
              <w:bottom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Correlation matrix and antenna configuration</w:t>
            </w:r>
          </w:p>
        </w:tc>
        <w:tc>
          <w:tcPr>
            <w:tcW w:w="2434" w:type="dxa"/>
            <w:gridSpan w:val="2"/>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5" w:hRule="atLeast"/>
          <w:jc w:val="center"/>
        </w:trPr>
        <w:tc>
          <w:tcPr>
            <w:tcW w:w="1237" w:type="dxa"/>
            <w:tcBorders>
              <w:top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p>
        </w:tc>
        <w:tc>
          <w:tcPr>
            <w:tcW w:w="1155" w:type="dxa"/>
            <w:tcBorders>
              <w:top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p>
        </w:tc>
        <w:tc>
          <w:tcPr>
            <w:tcW w:w="1619" w:type="dxa"/>
            <w:tcBorders>
              <w:top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p>
        </w:tc>
        <w:tc>
          <w:tcPr>
            <w:tcW w:w="1267" w:type="dxa"/>
            <w:tcBorders>
              <w:top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p>
        </w:tc>
        <w:tc>
          <w:tcPr>
            <w:tcW w:w="1366" w:type="dxa"/>
            <w:tcBorders>
              <w:top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p>
        </w:tc>
        <w:tc>
          <w:tcPr>
            <w:tcW w:w="1366" w:type="dxa"/>
            <w:tcBorders>
              <w:top w:val="nil"/>
            </w:tcBorders>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p>
        </w:tc>
        <w:tc>
          <w:tcPr>
            <w:tcW w:w="1801" w:type="dxa"/>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Fraction of maximum throughput (%)</w:t>
            </w:r>
          </w:p>
        </w:tc>
        <w:tc>
          <w:tcPr>
            <w:tcW w:w="633" w:type="dxa"/>
            <w:shd w:val="clear" w:color="auto" w:fill="FFFFFF"/>
          </w:tcPr>
          <w:p>
            <w:pPr>
              <w:keepNext/>
              <w:keepLines/>
              <w:widowControl w:val="0"/>
              <w:spacing w:after="0"/>
              <w:jc w:val="center"/>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7" w:hRule="atLeast"/>
          <w:jc w:val="center"/>
        </w:trPr>
        <w:tc>
          <w:tcPr>
            <w:tcW w:w="1237"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R.PDSCH.1-1.1 FDD</w:t>
            </w:r>
          </w:p>
        </w:tc>
        <w:tc>
          <w:tcPr>
            <w:tcW w:w="1155"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3 / 15</w:t>
            </w:r>
          </w:p>
        </w:tc>
        <w:tc>
          <w:tcPr>
            <w:tcW w:w="1619"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QPSK, 0.30</w:t>
            </w:r>
          </w:p>
        </w:tc>
        <w:tc>
          <w:tcPr>
            <w:tcW w:w="1267"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TDLB100-400</w:t>
            </w:r>
          </w:p>
        </w:tc>
        <w:tc>
          <w:tcPr>
            <w:tcW w:w="1366"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Rank 1</w:t>
            </w:r>
          </w:p>
        </w:tc>
        <w:tc>
          <w:tcPr>
            <w:tcW w:w="1366" w:type="dxa"/>
            <w:shd w:val="clear" w:color="auto" w:fill="FFFFFF"/>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2x2, ULA Low</w:t>
            </w:r>
          </w:p>
        </w:tc>
        <w:tc>
          <w:tcPr>
            <w:tcW w:w="1801" w:type="dxa"/>
            <w:shd w:val="clear" w:color="auto" w:fill="FFFFFF"/>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70</w:t>
            </w:r>
          </w:p>
        </w:tc>
        <w:tc>
          <w:tcPr>
            <w:tcW w:w="633" w:type="dxa"/>
            <w:shd w:val="clear" w:color="auto" w:fill="FFFFFF"/>
          </w:tcPr>
          <w:p>
            <w:pPr>
              <w:keepNext/>
              <w:keepLines/>
              <w:widowControl w:val="0"/>
              <w:spacing w:after="0"/>
              <w:jc w:val="center"/>
              <w:rPr>
                <w:rFonts w:hint="default" w:ascii="Arial" w:hAnsi="Arial" w:eastAsia="PMingLiU" w:cs="Times New Roman"/>
                <w:kern w:val="2"/>
                <w:sz w:val="18"/>
                <w:szCs w:val="24"/>
                <w:lang w:val="en-US" w:eastAsia="zh-CN" w:bidi="ar-SA"/>
              </w:rPr>
            </w:pPr>
            <w:r>
              <w:rPr>
                <w:rFonts w:hint="eastAsia" w:ascii="Arial" w:hAnsi="Arial" w:eastAsia="PMingLiU" w:cs="Times New Roman"/>
                <w:kern w:val="2"/>
                <w:sz w:val="18"/>
                <w:szCs w:val="24"/>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7" w:hRule="atLeast"/>
          <w:jc w:val="center"/>
        </w:trPr>
        <w:tc>
          <w:tcPr>
            <w:tcW w:w="1237" w:type="dxa"/>
            <w:vMerge w:val="continue"/>
            <w:shd w:val="clear" w:color="auto" w:fill="FFFFFF"/>
            <w:vAlign w:val="center"/>
          </w:tcPr>
          <w:p>
            <w:pPr>
              <w:widowControl w:val="0"/>
              <w:spacing w:beforeLines="-2147483648" w:afterLines="-2147483648" w:line="240" w:lineRule="auto"/>
              <w:rPr>
                <w:szCs w:val="24"/>
              </w:rPr>
            </w:pPr>
          </w:p>
        </w:tc>
        <w:tc>
          <w:tcPr>
            <w:tcW w:w="1155" w:type="dxa"/>
            <w:vMerge w:val="continue"/>
            <w:shd w:val="clear" w:color="auto" w:fill="FFFFFF"/>
            <w:vAlign w:val="center"/>
          </w:tcPr>
          <w:p>
            <w:pPr>
              <w:widowControl w:val="0"/>
              <w:spacing w:beforeLines="-2147483648" w:afterLines="-2147483648" w:line="240" w:lineRule="auto"/>
              <w:rPr>
                <w:szCs w:val="24"/>
              </w:rPr>
            </w:pPr>
          </w:p>
        </w:tc>
        <w:tc>
          <w:tcPr>
            <w:tcW w:w="1619" w:type="dxa"/>
            <w:vMerge w:val="continue"/>
            <w:shd w:val="clear" w:color="auto" w:fill="FFFFFF"/>
            <w:vAlign w:val="center"/>
          </w:tcPr>
          <w:p>
            <w:pPr>
              <w:widowControl w:val="0"/>
              <w:spacing w:beforeLines="-2147483648" w:afterLines="-2147483648" w:line="240" w:lineRule="auto"/>
              <w:rPr>
                <w:szCs w:val="24"/>
              </w:rPr>
            </w:pPr>
          </w:p>
        </w:tc>
        <w:tc>
          <w:tcPr>
            <w:tcW w:w="1267" w:type="dxa"/>
            <w:vMerge w:val="continue"/>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p>
        </w:tc>
        <w:tc>
          <w:tcPr>
            <w:tcW w:w="1366" w:type="dxa"/>
            <w:vMerge w:val="continue"/>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p>
        </w:tc>
        <w:tc>
          <w:tcPr>
            <w:tcW w:w="1366" w:type="dxa"/>
            <w:shd w:val="clear" w:color="auto" w:fill="FFFFFF"/>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2x4, ULA Low</w:t>
            </w:r>
          </w:p>
        </w:tc>
        <w:tc>
          <w:tcPr>
            <w:tcW w:w="1801" w:type="dxa"/>
            <w:shd w:val="clear" w:color="auto" w:fill="FFFFFF"/>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70</w:t>
            </w:r>
          </w:p>
        </w:tc>
        <w:tc>
          <w:tcPr>
            <w:tcW w:w="633" w:type="dxa"/>
            <w:shd w:val="clear" w:color="auto" w:fill="FFFFFF"/>
          </w:tcPr>
          <w:p>
            <w:pPr>
              <w:keepNext/>
              <w:keepLines/>
              <w:widowControl w:val="0"/>
              <w:spacing w:after="0"/>
              <w:jc w:val="center"/>
              <w:rPr>
                <w:rFonts w:hint="default" w:ascii="Arial" w:hAnsi="Arial" w:eastAsia="PMingLiU" w:cs="Times New Roman"/>
                <w:kern w:val="2"/>
                <w:sz w:val="18"/>
                <w:szCs w:val="24"/>
                <w:lang w:val="en-US" w:eastAsia="zh-CN" w:bidi="ar-SA"/>
              </w:rPr>
            </w:pPr>
            <w:r>
              <w:rPr>
                <w:rFonts w:hint="eastAsia" w:ascii="Arial" w:hAnsi="Arial" w:eastAsia="PMingLiU" w:cs="Times New Roman"/>
                <w:kern w:val="2"/>
                <w:sz w:val="18"/>
                <w:szCs w:val="24"/>
                <w:lang w:val="en-US" w:eastAsia="zh-CN" w:bidi="ar-SA"/>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7" w:hRule="atLeast"/>
          <w:jc w:val="center"/>
        </w:trPr>
        <w:tc>
          <w:tcPr>
            <w:tcW w:w="1237" w:type="dxa"/>
            <w:vMerge w:val="restart"/>
            <w:shd w:val="clear" w:color="auto" w:fill="FFFFFF"/>
            <w:vAlign w:val="center"/>
          </w:tcPr>
          <w:p>
            <w:pPr>
              <w:widowControl w:val="0"/>
              <w:spacing w:beforeLines="-2147483648" w:after="0" w:afterLines="-2147483648" w:line="240" w:lineRule="auto"/>
              <w:jc w:val="center"/>
              <w:rPr>
                <w:szCs w:val="18"/>
                <w:lang w:eastAsia="zh-CN"/>
              </w:rPr>
            </w:pPr>
            <w:r>
              <w:rPr>
                <w:rFonts w:ascii="Arial" w:hAnsi="Arial"/>
                <w:sz w:val="18"/>
                <w:szCs w:val="24"/>
                <w:lang w:eastAsia="zh-CN"/>
              </w:rPr>
              <w:t>R.PDSCH.1-2.1 FDD</w:t>
            </w:r>
          </w:p>
        </w:tc>
        <w:tc>
          <w:tcPr>
            <w:tcW w:w="1155" w:type="dxa"/>
            <w:vMerge w:val="restart"/>
            <w:shd w:val="clear" w:color="auto" w:fill="FFFFFF"/>
            <w:vAlign w:val="center"/>
          </w:tcPr>
          <w:p>
            <w:pPr>
              <w:keepNext/>
              <w:keepLines/>
              <w:widowControl w:val="0"/>
              <w:spacing w:after="0"/>
              <w:jc w:val="center"/>
              <w:rPr>
                <w:rFonts w:ascii="Arial" w:hAnsi="Arial" w:eastAsia="宋体" w:cs="Times New Roman"/>
                <w:kern w:val="2"/>
                <w:sz w:val="18"/>
                <w:szCs w:val="18"/>
                <w:lang w:val="en-US" w:eastAsia="zh-CN" w:bidi="ar-SA"/>
              </w:rPr>
            </w:pPr>
            <w:r>
              <w:rPr>
                <w:rFonts w:ascii="Arial" w:hAnsi="Arial" w:eastAsia="宋体" w:cs="Times New Roman"/>
                <w:kern w:val="2"/>
                <w:sz w:val="18"/>
                <w:szCs w:val="24"/>
                <w:lang w:val="en-US" w:eastAsia="zh-CN" w:bidi="ar-SA"/>
              </w:rPr>
              <w:t>3 / 15</w:t>
            </w:r>
          </w:p>
        </w:tc>
        <w:tc>
          <w:tcPr>
            <w:tcW w:w="1619" w:type="dxa"/>
            <w:vMerge w:val="restart"/>
            <w:shd w:val="clear" w:color="auto" w:fill="FFFFFF"/>
            <w:vAlign w:val="center"/>
          </w:tcPr>
          <w:p>
            <w:pPr>
              <w:keepNext/>
              <w:keepLines/>
              <w:widowControl w:val="0"/>
              <w:spacing w:after="0"/>
              <w:jc w:val="center"/>
              <w:rPr>
                <w:rFonts w:ascii="Arial" w:hAnsi="Arial" w:eastAsia="宋体" w:cs="Times New Roman"/>
                <w:kern w:val="2"/>
                <w:sz w:val="18"/>
                <w:szCs w:val="18"/>
                <w:lang w:val="en-US" w:eastAsia="zh-CN" w:bidi="ar-SA"/>
              </w:rPr>
            </w:pPr>
            <w:r>
              <w:rPr>
                <w:rFonts w:ascii="Arial" w:hAnsi="Arial" w:eastAsia="宋体" w:cs="Times New Roman"/>
                <w:kern w:val="2"/>
                <w:sz w:val="18"/>
                <w:szCs w:val="24"/>
                <w:lang w:val="en-US" w:eastAsia="zh-CN" w:bidi="ar-SA"/>
              </w:rPr>
              <w:t>16QAM, 0.48</w:t>
            </w:r>
          </w:p>
        </w:tc>
        <w:tc>
          <w:tcPr>
            <w:tcW w:w="1267"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TDLC300-100</w:t>
            </w:r>
          </w:p>
        </w:tc>
        <w:tc>
          <w:tcPr>
            <w:tcW w:w="1366" w:type="dxa"/>
            <w:vMerge w:val="restart"/>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Rank 1</w:t>
            </w:r>
          </w:p>
        </w:tc>
        <w:tc>
          <w:tcPr>
            <w:tcW w:w="1366" w:type="dxa"/>
            <w:shd w:val="clear" w:color="auto" w:fill="FFFFFF"/>
            <w:vAlign w:val="center"/>
          </w:tcPr>
          <w:p>
            <w:pPr>
              <w:keepNext/>
              <w:keepLines/>
              <w:widowControl w:val="0"/>
              <w:spacing w:after="0"/>
              <w:jc w:val="center"/>
              <w:rPr>
                <w:rFonts w:ascii="Arial" w:hAnsi="Arial" w:eastAsia="宋体" w:cs="Times New Roman"/>
                <w:kern w:val="2"/>
                <w:sz w:val="18"/>
                <w:szCs w:val="18"/>
                <w:lang w:val="en-US" w:eastAsia="zh-CN" w:bidi="ar-SA"/>
              </w:rPr>
            </w:pPr>
            <w:r>
              <w:rPr>
                <w:rFonts w:ascii="Arial" w:hAnsi="Arial" w:eastAsia="宋体" w:cs="Times New Roman"/>
                <w:kern w:val="2"/>
                <w:sz w:val="18"/>
                <w:szCs w:val="24"/>
                <w:lang w:val="en-US" w:eastAsia="zh-CN" w:bidi="ar-SA"/>
              </w:rPr>
              <w:t>2x2, ULA Low</w:t>
            </w:r>
          </w:p>
        </w:tc>
        <w:tc>
          <w:tcPr>
            <w:tcW w:w="1801" w:type="dxa"/>
            <w:shd w:val="clear" w:color="auto" w:fill="FFFFFF"/>
            <w:vAlign w:val="center"/>
          </w:tcPr>
          <w:p>
            <w:pPr>
              <w:keepNext/>
              <w:keepLines/>
              <w:widowControl w:val="0"/>
              <w:spacing w:after="0"/>
              <w:jc w:val="center"/>
              <w:rPr>
                <w:rFonts w:ascii="Arial" w:hAnsi="Arial" w:eastAsia="宋体" w:cs="Times New Roman"/>
                <w:kern w:val="2"/>
                <w:sz w:val="18"/>
                <w:szCs w:val="18"/>
                <w:lang w:val="en-US" w:eastAsia="zh-CN" w:bidi="ar-SA"/>
              </w:rPr>
            </w:pPr>
            <w:r>
              <w:rPr>
                <w:rFonts w:ascii="Arial" w:hAnsi="Arial" w:eastAsia="宋体" w:cs="Times New Roman"/>
                <w:kern w:val="2"/>
                <w:sz w:val="18"/>
                <w:szCs w:val="24"/>
                <w:lang w:val="en-US" w:eastAsia="zh-CN" w:bidi="ar-SA"/>
              </w:rPr>
              <w:t>70</w:t>
            </w:r>
          </w:p>
        </w:tc>
        <w:tc>
          <w:tcPr>
            <w:tcW w:w="633" w:type="dxa"/>
            <w:shd w:val="clear" w:color="auto" w:fill="FFFFFF"/>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9" w:hRule="atLeast"/>
          <w:jc w:val="center"/>
        </w:trPr>
        <w:tc>
          <w:tcPr>
            <w:tcW w:w="1237" w:type="dxa"/>
            <w:vMerge w:val="continue"/>
            <w:shd w:val="clear" w:color="auto" w:fill="FFFFFF"/>
            <w:vAlign w:val="center"/>
          </w:tcPr>
          <w:p>
            <w:pPr>
              <w:widowControl w:val="0"/>
              <w:spacing w:beforeLines="-2147483648" w:afterLines="-2147483648" w:line="240" w:lineRule="auto"/>
              <w:rPr>
                <w:szCs w:val="24"/>
              </w:rPr>
            </w:pPr>
          </w:p>
        </w:tc>
        <w:tc>
          <w:tcPr>
            <w:tcW w:w="1155" w:type="dxa"/>
            <w:vMerge w:val="continue"/>
            <w:shd w:val="clear" w:color="auto" w:fill="FFFFFF"/>
            <w:vAlign w:val="center"/>
          </w:tcPr>
          <w:p>
            <w:pPr>
              <w:widowControl w:val="0"/>
              <w:spacing w:beforeLines="-2147483648" w:afterLines="-2147483648" w:line="240" w:lineRule="auto"/>
              <w:rPr>
                <w:szCs w:val="24"/>
              </w:rPr>
            </w:pPr>
          </w:p>
        </w:tc>
        <w:tc>
          <w:tcPr>
            <w:tcW w:w="1619" w:type="dxa"/>
            <w:vMerge w:val="continue"/>
            <w:shd w:val="clear" w:color="auto" w:fill="FFFFFF"/>
            <w:vAlign w:val="center"/>
          </w:tcPr>
          <w:p>
            <w:pPr>
              <w:widowControl w:val="0"/>
              <w:spacing w:beforeLines="-2147483648" w:afterLines="-2147483648" w:line="240" w:lineRule="auto"/>
              <w:rPr>
                <w:szCs w:val="24"/>
              </w:rPr>
            </w:pPr>
          </w:p>
        </w:tc>
        <w:tc>
          <w:tcPr>
            <w:tcW w:w="1267" w:type="dxa"/>
            <w:vMerge w:val="continue"/>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p>
        </w:tc>
        <w:tc>
          <w:tcPr>
            <w:tcW w:w="1366" w:type="dxa"/>
            <w:vMerge w:val="continue"/>
            <w:shd w:val="clear" w:color="auto" w:fill="FFFFFF"/>
          </w:tcPr>
          <w:p>
            <w:pPr>
              <w:keepNext/>
              <w:keepLines/>
              <w:widowControl w:val="0"/>
              <w:spacing w:after="0"/>
              <w:jc w:val="center"/>
              <w:rPr>
                <w:rFonts w:ascii="Arial" w:hAnsi="Arial" w:eastAsia="宋体" w:cs="Times New Roman"/>
                <w:kern w:val="2"/>
                <w:sz w:val="18"/>
                <w:szCs w:val="24"/>
                <w:lang w:val="en-US" w:eastAsia="zh-CN" w:bidi="ar-SA"/>
              </w:rPr>
            </w:pPr>
          </w:p>
        </w:tc>
        <w:tc>
          <w:tcPr>
            <w:tcW w:w="1366" w:type="dxa"/>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2x4, ULA Low</w:t>
            </w:r>
          </w:p>
        </w:tc>
        <w:tc>
          <w:tcPr>
            <w:tcW w:w="1801" w:type="dxa"/>
            <w:shd w:val="clear" w:color="auto" w:fill="FFFFFF"/>
            <w:vAlign w:val="center"/>
          </w:tcPr>
          <w:p>
            <w:pPr>
              <w:keepNext/>
              <w:keepLines/>
              <w:widowControl w:val="0"/>
              <w:spacing w:after="0"/>
              <w:jc w:val="center"/>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70</w:t>
            </w:r>
          </w:p>
        </w:tc>
        <w:tc>
          <w:tcPr>
            <w:tcW w:w="633" w:type="dxa"/>
            <w:shd w:val="clear" w:color="auto" w:fill="FFFFFF"/>
            <w:vAlign w:val="center"/>
          </w:tcPr>
          <w:p>
            <w:pPr>
              <w:keepNext/>
              <w:keepLines/>
              <w:widowControl w:val="0"/>
              <w:spacing w:after="0"/>
              <w:jc w:val="center"/>
              <w:rPr>
                <w:rFonts w:hint="default"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2.0</w:t>
            </w:r>
          </w:p>
        </w:tc>
      </w:tr>
    </w:tbl>
    <w:p>
      <w:pPr>
        <w:widowControl w:val="0"/>
        <w:spacing w:beforeLines="100" w:afterLines="0" w:line="240" w:lineRule="auto"/>
        <w:jc w:val="left"/>
        <w:rPr>
          <w:b/>
          <w:bCs/>
          <w:i/>
          <w:iCs/>
          <w:szCs w:val="21"/>
        </w:rPr>
      </w:pPr>
    </w:p>
    <w:p>
      <w:pPr>
        <w:widowControl w:val="0"/>
        <w:spacing w:beforeLines="100" w:afterLines="0" w:line="240" w:lineRule="auto"/>
        <w:jc w:val="left"/>
        <w:rPr>
          <w:b/>
          <w:bCs/>
          <w:i/>
          <w:iCs/>
          <w:szCs w:val="21"/>
        </w:rPr>
      </w:pP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demodulation requirements, The conclusions are:</w:t>
      </w:r>
    </w:p>
    <w:p>
      <w:pPr>
        <w:rPr>
          <w:rFonts w:hint="default"/>
          <w:lang w:val="en-US" w:eastAsia="zh-CN"/>
        </w:rPr>
      </w:pPr>
      <w:r>
        <w:rPr>
          <w:rFonts w:hint="eastAsia"/>
          <w:b/>
          <w:bCs/>
          <w:i/>
          <w:iCs/>
          <w:szCs w:val="21"/>
          <w:lang w:val="en-US" w:eastAsia="zh-CN"/>
        </w:rPr>
        <w:t>Observation 1. Our simulation results shown no significant difference in performance between 3Mhz and legacy requirements.</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7"/>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7"/>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R4-2321064 .WF on NR_FR1_lessthan_5MHz_BW_demod, Nokia, Nokia Shanghai Bell.</w:t>
      </w:r>
    </w:p>
    <w:p>
      <w:pPr>
        <w:pStyle w:val="34"/>
        <w:numPr>
          <w:ilvl w:val="0"/>
          <w:numId w:val="0"/>
        </w:numPr>
        <w:spacing w:afterLines="0" w:line="259" w:lineRule="auto"/>
        <w:ind w:right="-22" w:rightChars="0"/>
        <w:jc w:val="left"/>
        <w:rPr>
          <w:rFonts w:eastAsiaTheme="minorHAnsi" w:cstheme="minorBidi"/>
          <w:kern w:val="0"/>
          <w:sz w:val="21"/>
          <w:szCs w:val="21"/>
        </w:rPr>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750D3"/>
    <w:rsid w:val="011A0B49"/>
    <w:rsid w:val="011E4C0F"/>
    <w:rsid w:val="01443BEC"/>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C0B2A"/>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B757E8"/>
    <w:rsid w:val="03C05350"/>
    <w:rsid w:val="03C1287B"/>
    <w:rsid w:val="03C36B0E"/>
    <w:rsid w:val="03CF67FA"/>
    <w:rsid w:val="03E358F3"/>
    <w:rsid w:val="03E84DE8"/>
    <w:rsid w:val="04030035"/>
    <w:rsid w:val="04251A4C"/>
    <w:rsid w:val="042D2E97"/>
    <w:rsid w:val="04305EA0"/>
    <w:rsid w:val="04352418"/>
    <w:rsid w:val="043865BF"/>
    <w:rsid w:val="044C78D8"/>
    <w:rsid w:val="04537B11"/>
    <w:rsid w:val="045C6122"/>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F2584F"/>
    <w:rsid w:val="0601277E"/>
    <w:rsid w:val="060C5AED"/>
    <w:rsid w:val="06103146"/>
    <w:rsid w:val="06172561"/>
    <w:rsid w:val="061E54DA"/>
    <w:rsid w:val="061E5E22"/>
    <w:rsid w:val="063D244B"/>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37E19"/>
    <w:rsid w:val="073D143C"/>
    <w:rsid w:val="074855FD"/>
    <w:rsid w:val="07627CA0"/>
    <w:rsid w:val="076319C4"/>
    <w:rsid w:val="07691233"/>
    <w:rsid w:val="077241E3"/>
    <w:rsid w:val="078C5933"/>
    <w:rsid w:val="078D336C"/>
    <w:rsid w:val="07905D82"/>
    <w:rsid w:val="07905E8F"/>
    <w:rsid w:val="07971B3F"/>
    <w:rsid w:val="07983294"/>
    <w:rsid w:val="07A5677E"/>
    <w:rsid w:val="07A864E9"/>
    <w:rsid w:val="07B51934"/>
    <w:rsid w:val="07B9290D"/>
    <w:rsid w:val="07BB64F5"/>
    <w:rsid w:val="07BE52B9"/>
    <w:rsid w:val="07D57946"/>
    <w:rsid w:val="07D70D20"/>
    <w:rsid w:val="07ED524D"/>
    <w:rsid w:val="080124E3"/>
    <w:rsid w:val="080C7FA0"/>
    <w:rsid w:val="080D41B9"/>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8C2CE3"/>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A1BB9"/>
    <w:rsid w:val="0D4B44A1"/>
    <w:rsid w:val="0D6E2620"/>
    <w:rsid w:val="0D704E21"/>
    <w:rsid w:val="0D753731"/>
    <w:rsid w:val="0D7F48FE"/>
    <w:rsid w:val="0D826E5C"/>
    <w:rsid w:val="0D883C88"/>
    <w:rsid w:val="0D900677"/>
    <w:rsid w:val="0D966BF7"/>
    <w:rsid w:val="0DBD71A3"/>
    <w:rsid w:val="0DCC3AE8"/>
    <w:rsid w:val="0DD87842"/>
    <w:rsid w:val="0DD934C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C90720"/>
    <w:rsid w:val="0ED50DDE"/>
    <w:rsid w:val="0EE228A3"/>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11B08"/>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85584B"/>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AA2E8B"/>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83148"/>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89503A"/>
    <w:rsid w:val="1F9225E1"/>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848E2"/>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2191D"/>
    <w:rsid w:val="23F70BA5"/>
    <w:rsid w:val="23F93D0D"/>
    <w:rsid w:val="24025806"/>
    <w:rsid w:val="2405417E"/>
    <w:rsid w:val="24096754"/>
    <w:rsid w:val="241B5C62"/>
    <w:rsid w:val="245872F9"/>
    <w:rsid w:val="245943D9"/>
    <w:rsid w:val="245E6B64"/>
    <w:rsid w:val="2463385E"/>
    <w:rsid w:val="246B247D"/>
    <w:rsid w:val="24967323"/>
    <w:rsid w:val="249D5FC8"/>
    <w:rsid w:val="24A1538E"/>
    <w:rsid w:val="24AB0F9C"/>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9D0D39"/>
    <w:rsid w:val="26A30ADD"/>
    <w:rsid w:val="26C472EC"/>
    <w:rsid w:val="26EC491A"/>
    <w:rsid w:val="26ED73E1"/>
    <w:rsid w:val="26EF38F6"/>
    <w:rsid w:val="26F32A72"/>
    <w:rsid w:val="26FD510C"/>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62839"/>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8698E"/>
    <w:rsid w:val="2AAC5A06"/>
    <w:rsid w:val="2ABB3D6F"/>
    <w:rsid w:val="2AC70B30"/>
    <w:rsid w:val="2ACC2AAF"/>
    <w:rsid w:val="2AD74744"/>
    <w:rsid w:val="2AD91AC2"/>
    <w:rsid w:val="2AE57C95"/>
    <w:rsid w:val="2AF35C8B"/>
    <w:rsid w:val="2B132265"/>
    <w:rsid w:val="2B142FC2"/>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A584B"/>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E617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D768C"/>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674F8"/>
    <w:rsid w:val="2FF87390"/>
    <w:rsid w:val="2FF93066"/>
    <w:rsid w:val="301103CD"/>
    <w:rsid w:val="301A71CE"/>
    <w:rsid w:val="301E049B"/>
    <w:rsid w:val="302A4BE6"/>
    <w:rsid w:val="30307691"/>
    <w:rsid w:val="304478EC"/>
    <w:rsid w:val="304A314A"/>
    <w:rsid w:val="3062663F"/>
    <w:rsid w:val="30916BB1"/>
    <w:rsid w:val="30962F3E"/>
    <w:rsid w:val="30AA2585"/>
    <w:rsid w:val="30AD7725"/>
    <w:rsid w:val="30B043F0"/>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A0A45"/>
    <w:rsid w:val="32AE4A3C"/>
    <w:rsid w:val="32BA4880"/>
    <w:rsid w:val="32CB6A28"/>
    <w:rsid w:val="32DF351E"/>
    <w:rsid w:val="32E660DB"/>
    <w:rsid w:val="32EE5E41"/>
    <w:rsid w:val="32F40F87"/>
    <w:rsid w:val="32FD7C76"/>
    <w:rsid w:val="330C22FC"/>
    <w:rsid w:val="33247878"/>
    <w:rsid w:val="333D3A1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A626BE"/>
    <w:rsid w:val="34B32986"/>
    <w:rsid w:val="34BD02AE"/>
    <w:rsid w:val="34C12126"/>
    <w:rsid w:val="34D13A35"/>
    <w:rsid w:val="34DA26A8"/>
    <w:rsid w:val="34E63919"/>
    <w:rsid w:val="34E960F1"/>
    <w:rsid w:val="35033D8D"/>
    <w:rsid w:val="350B42D5"/>
    <w:rsid w:val="350F6258"/>
    <w:rsid w:val="351622C7"/>
    <w:rsid w:val="351A603C"/>
    <w:rsid w:val="351D4BB8"/>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036B4"/>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2E7F2A"/>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DE4C1D"/>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911A0"/>
    <w:rsid w:val="3E1D023C"/>
    <w:rsid w:val="3E1D4B24"/>
    <w:rsid w:val="3E23398A"/>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B6B66"/>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11643"/>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3E7FD8"/>
    <w:rsid w:val="474A0EAF"/>
    <w:rsid w:val="474E50BE"/>
    <w:rsid w:val="47696F9C"/>
    <w:rsid w:val="47725A17"/>
    <w:rsid w:val="477D3243"/>
    <w:rsid w:val="478821A1"/>
    <w:rsid w:val="479128A9"/>
    <w:rsid w:val="47975EDC"/>
    <w:rsid w:val="47983B19"/>
    <w:rsid w:val="479A2B88"/>
    <w:rsid w:val="47A3609D"/>
    <w:rsid w:val="47C01792"/>
    <w:rsid w:val="47C57A48"/>
    <w:rsid w:val="47D511BD"/>
    <w:rsid w:val="47D52718"/>
    <w:rsid w:val="4808150F"/>
    <w:rsid w:val="480F51A8"/>
    <w:rsid w:val="48256B1B"/>
    <w:rsid w:val="48282713"/>
    <w:rsid w:val="482A1618"/>
    <w:rsid w:val="484417FA"/>
    <w:rsid w:val="48450ECE"/>
    <w:rsid w:val="484759CD"/>
    <w:rsid w:val="484A10F9"/>
    <w:rsid w:val="484B14EC"/>
    <w:rsid w:val="485F73AE"/>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279AB"/>
    <w:rsid w:val="4958367A"/>
    <w:rsid w:val="496E52F3"/>
    <w:rsid w:val="497D5E45"/>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8236D"/>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3C557E"/>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34B81"/>
    <w:rsid w:val="51C67EED"/>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73903"/>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81DD3"/>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8B2F8A"/>
    <w:rsid w:val="569D619C"/>
    <w:rsid w:val="56A55214"/>
    <w:rsid w:val="56A67978"/>
    <w:rsid w:val="56AC63C5"/>
    <w:rsid w:val="56B61F71"/>
    <w:rsid w:val="56C1700B"/>
    <w:rsid w:val="56D25618"/>
    <w:rsid w:val="56DC2761"/>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52B94"/>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3532E"/>
    <w:rsid w:val="5C975416"/>
    <w:rsid w:val="5CA1479B"/>
    <w:rsid w:val="5CA6294E"/>
    <w:rsid w:val="5CAB7154"/>
    <w:rsid w:val="5CD8648B"/>
    <w:rsid w:val="5CDB2E8C"/>
    <w:rsid w:val="5CDB3358"/>
    <w:rsid w:val="5CED4E0C"/>
    <w:rsid w:val="5CF94FAE"/>
    <w:rsid w:val="5D034EE9"/>
    <w:rsid w:val="5D0366E8"/>
    <w:rsid w:val="5D044FED"/>
    <w:rsid w:val="5D0476B6"/>
    <w:rsid w:val="5D0A06B6"/>
    <w:rsid w:val="5D1307E8"/>
    <w:rsid w:val="5D212A05"/>
    <w:rsid w:val="5D2F4802"/>
    <w:rsid w:val="5D3444E6"/>
    <w:rsid w:val="5D3F0BDF"/>
    <w:rsid w:val="5D5B7098"/>
    <w:rsid w:val="5D634782"/>
    <w:rsid w:val="5D6E1B86"/>
    <w:rsid w:val="5D846D3F"/>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2652F0"/>
    <w:rsid w:val="5F4F1B95"/>
    <w:rsid w:val="5F683B6E"/>
    <w:rsid w:val="5F843409"/>
    <w:rsid w:val="5F875C0C"/>
    <w:rsid w:val="5F8F0B9E"/>
    <w:rsid w:val="5F8F267A"/>
    <w:rsid w:val="5FB94C48"/>
    <w:rsid w:val="5FEA3339"/>
    <w:rsid w:val="5FEC60B6"/>
    <w:rsid w:val="5FF37587"/>
    <w:rsid w:val="5FFE57B7"/>
    <w:rsid w:val="60060CD5"/>
    <w:rsid w:val="600762FF"/>
    <w:rsid w:val="60085AA3"/>
    <w:rsid w:val="600E362B"/>
    <w:rsid w:val="60183392"/>
    <w:rsid w:val="601953B5"/>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C97D62"/>
    <w:rsid w:val="60D4742F"/>
    <w:rsid w:val="60D95276"/>
    <w:rsid w:val="60E06DEB"/>
    <w:rsid w:val="60E51841"/>
    <w:rsid w:val="61110088"/>
    <w:rsid w:val="61421EFD"/>
    <w:rsid w:val="615C5041"/>
    <w:rsid w:val="61613111"/>
    <w:rsid w:val="61635733"/>
    <w:rsid w:val="61705965"/>
    <w:rsid w:val="6182260C"/>
    <w:rsid w:val="618E7D26"/>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6E2C67"/>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4C0187"/>
    <w:rsid w:val="64766F57"/>
    <w:rsid w:val="648939AA"/>
    <w:rsid w:val="649B1AC2"/>
    <w:rsid w:val="64A7467B"/>
    <w:rsid w:val="64C86505"/>
    <w:rsid w:val="64FE700F"/>
    <w:rsid w:val="65000502"/>
    <w:rsid w:val="6500327F"/>
    <w:rsid w:val="6503062C"/>
    <w:rsid w:val="6506609B"/>
    <w:rsid w:val="65083216"/>
    <w:rsid w:val="650E3D55"/>
    <w:rsid w:val="653A5EE7"/>
    <w:rsid w:val="65460728"/>
    <w:rsid w:val="65822810"/>
    <w:rsid w:val="65870C45"/>
    <w:rsid w:val="659B4BB9"/>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9C2E7E"/>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436646"/>
    <w:rsid w:val="685707E0"/>
    <w:rsid w:val="685C6395"/>
    <w:rsid w:val="686318DD"/>
    <w:rsid w:val="68635145"/>
    <w:rsid w:val="687E4CF2"/>
    <w:rsid w:val="687F607E"/>
    <w:rsid w:val="68A34C5C"/>
    <w:rsid w:val="68C91446"/>
    <w:rsid w:val="68E24981"/>
    <w:rsid w:val="69027347"/>
    <w:rsid w:val="69123F86"/>
    <w:rsid w:val="691C3525"/>
    <w:rsid w:val="69216128"/>
    <w:rsid w:val="69280874"/>
    <w:rsid w:val="694C5FA5"/>
    <w:rsid w:val="695D6B21"/>
    <w:rsid w:val="69611EE7"/>
    <w:rsid w:val="696C708E"/>
    <w:rsid w:val="696F4D5D"/>
    <w:rsid w:val="698336E4"/>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969D4"/>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BFC35E6"/>
    <w:rsid w:val="6C0E1232"/>
    <w:rsid w:val="6C240DF3"/>
    <w:rsid w:val="6C2E6123"/>
    <w:rsid w:val="6C45610F"/>
    <w:rsid w:val="6C547243"/>
    <w:rsid w:val="6C59472D"/>
    <w:rsid w:val="6C5A4564"/>
    <w:rsid w:val="6C603744"/>
    <w:rsid w:val="6C637CCF"/>
    <w:rsid w:val="6C646F5A"/>
    <w:rsid w:val="6C7802EB"/>
    <w:rsid w:val="6C783222"/>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EC7953"/>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0510C"/>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A171F9"/>
    <w:rsid w:val="71AA48B1"/>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3774"/>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261D2"/>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0E4EEF"/>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24579"/>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42EA3"/>
    <w:rsid w:val="7C8A7CDC"/>
    <w:rsid w:val="7C924172"/>
    <w:rsid w:val="7C9E5A24"/>
    <w:rsid w:val="7CB4006B"/>
    <w:rsid w:val="7CB41BA4"/>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274B4"/>
    <w:rsid w:val="7FC73596"/>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 w:type="table" w:customStyle="1" w:styleId="78">
    <w:name w:val="Table Grid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18</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2024-02-19T11:49:06Z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A1CDB747EEAB49BF888A0BA9449178C1</vt:lpwstr>
  </property>
</Properties>
</file>